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BEE7D1">
      <w:pPr>
        <w:pStyle w:val="2"/>
        <w:bidi w:val="0"/>
        <w:jc w:val="center"/>
      </w:pPr>
      <w:bookmarkStart w:id="0" w:name="_Toc27442"/>
      <w:r>
        <w:rPr>
          <w:rFonts w:hint="default"/>
          <w:lang w:val="en-US" w:eastAsia="zh-CN"/>
        </w:rPr>
        <w:t>What to do About Windows 10 End Of Support</w:t>
      </w:r>
      <w:bookmarkEnd w:id="0"/>
    </w:p>
    <w:tbl>
      <w:tblPr>
        <w:tblStyle w:val="111"/>
        <w:tblW w:w="10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0"/>
      </w:tblGrid>
      <w:tr w14:paraId="22850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10630" w:type="dxa"/>
          </w:tcPr>
          <w:p w14:paraId="18665D87">
            <w:pPr>
              <w:bidi w:val="0"/>
              <w:jc w:val="both"/>
              <w:rPr>
                <w:b/>
                <w:bCs/>
                <w:lang w:val="en-US"/>
              </w:rPr>
            </w:pPr>
            <w:r>
              <w:rPr>
                <w:b/>
                <w:bCs/>
                <w:lang w:val="en-US"/>
              </w:rPr>
              <w:t>Table of Contents</w:t>
            </w:r>
          </w:p>
          <w:p w14:paraId="2647A0E0">
            <w:pPr>
              <w:pStyle w:val="142"/>
              <w:tabs>
                <w:tab w:val="right" w:leader="dot" w:pos="10414"/>
              </w:tabs>
            </w:pPr>
            <w:r>
              <w:fldChar w:fldCharType="begin"/>
            </w:r>
            <w:r>
              <w:instrText xml:space="preserve">TOC \o "1-3" \h \u </w:instrText>
            </w:r>
            <w:r>
              <w:fldChar w:fldCharType="separate"/>
            </w:r>
            <w:r>
              <w:fldChar w:fldCharType="begin"/>
            </w:r>
            <w:r>
              <w:instrText xml:space="preserve"> HYPERLINK \l _Toc27442 </w:instrText>
            </w:r>
            <w:r>
              <w:fldChar w:fldCharType="separate"/>
            </w:r>
            <w:r>
              <w:rPr>
                <w:rFonts w:hint="default"/>
                <w:lang w:val="en-US" w:eastAsia="zh-CN"/>
              </w:rPr>
              <w:t>What to do About Windows 10 End Of Support</w:t>
            </w:r>
            <w:r>
              <w:tab/>
            </w:r>
            <w:r>
              <w:fldChar w:fldCharType="begin"/>
            </w:r>
            <w:r>
              <w:instrText xml:space="preserve"> PAGEREF _Toc27442 \h </w:instrText>
            </w:r>
            <w:r>
              <w:fldChar w:fldCharType="separate"/>
            </w:r>
            <w:r>
              <w:t>1</w:t>
            </w:r>
            <w:r>
              <w:fldChar w:fldCharType="end"/>
            </w:r>
            <w:r>
              <w:fldChar w:fldCharType="end"/>
            </w:r>
          </w:p>
          <w:p w14:paraId="5AB50E10">
            <w:pPr>
              <w:pStyle w:val="143"/>
              <w:tabs>
                <w:tab w:val="right" w:leader="dot" w:pos="10414"/>
              </w:tabs>
            </w:pPr>
            <w:r>
              <w:fldChar w:fldCharType="begin"/>
            </w:r>
            <w:r>
              <w:instrText xml:space="preserve"> HYPERLINK \l _Toc1191 </w:instrText>
            </w:r>
            <w:r>
              <w:fldChar w:fldCharType="separate"/>
            </w:r>
            <w:r>
              <w:rPr>
                <w:rFonts w:hint="default"/>
                <w:lang w:val="en-US" w:eastAsia="zh-CN"/>
              </w:rPr>
              <w:t>What’s Happening to Windows 10?</w:t>
            </w:r>
            <w:r>
              <w:tab/>
            </w:r>
            <w:r>
              <w:fldChar w:fldCharType="begin"/>
            </w:r>
            <w:r>
              <w:instrText xml:space="preserve"> PAGEREF _Toc1191 \h </w:instrText>
            </w:r>
            <w:r>
              <w:fldChar w:fldCharType="separate"/>
            </w:r>
            <w:r>
              <w:t>3</w:t>
            </w:r>
            <w:r>
              <w:fldChar w:fldCharType="end"/>
            </w:r>
            <w:r>
              <w:fldChar w:fldCharType="end"/>
            </w:r>
          </w:p>
          <w:p w14:paraId="220DB72F">
            <w:pPr>
              <w:pStyle w:val="143"/>
              <w:tabs>
                <w:tab w:val="right" w:leader="dot" w:pos="10414"/>
              </w:tabs>
            </w:pPr>
            <w:r>
              <w:fldChar w:fldCharType="begin"/>
            </w:r>
            <w:r>
              <w:instrText xml:space="preserve"> HYPERLINK \l _Toc4428 </w:instrText>
            </w:r>
            <w:r>
              <w:fldChar w:fldCharType="separate"/>
            </w:r>
            <w:r>
              <w:rPr>
                <w:rFonts w:hint="default"/>
                <w:lang w:val="en-AU" w:eastAsia="zh-CN"/>
              </w:rPr>
              <w:t>M</w:t>
            </w:r>
            <w:r>
              <w:rPr>
                <w:rFonts w:hint="default"/>
                <w:lang w:val="en-US" w:eastAsia="zh-CN"/>
              </w:rPr>
              <w:t>inimum hardware requirements</w:t>
            </w:r>
            <w:r>
              <w:fldChar w:fldCharType="end"/>
            </w:r>
            <w:r>
              <w:rPr>
                <w:rFonts w:hint="default"/>
                <w:lang w:val="en-AU"/>
              </w:rPr>
              <w:t xml:space="preserve"> </w:t>
            </w:r>
            <w:r>
              <w:fldChar w:fldCharType="begin"/>
            </w:r>
            <w:r>
              <w:instrText xml:space="preserve"> HYPERLINK \l _Toc16063 </w:instrText>
            </w:r>
            <w:r>
              <w:fldChar w:fldCharType="separate"/>
            </w:r>
            <w:r>
              <w:rPr>
                <w:rFonts w:hint="default"/>
                <w:lang w:val="en-US" w:eastAsia="zh-CN"/>
              </w:rPr>
              <w:t>to upgrade to Windows 11</w:t>
            </w:r>
            <w:r>
              <w:tab/>
            </w:r>
            <w:r>
              <w:fldChar w:fldCharType="begin"/>
            </w:r>
            <w:r>
              <w:instrText xml:space="preserve"> PAGEREF _Toc16063 \h </w:instrText>
            </w:r>
            <w:r>
              <w:fldChar w:fldCharType="separate"/>
            </w:r>
            <w:r>
              <w:t>4</w:t>
            </w:r>
            <w:r>
              <w:fldChar w:fldCharType="end"/>
            </w:r>
            <w:r>
              <w:fldChar w:fldCharType="end"/>
            </w:r>
          </w:p>
          <w:p w14:paraId="2E20339F">
            <w:pPr>
              <w:pStyle w:val="143"/>
              <w:tabs>
                <w:tab w:val="right" w:leader="dot" w:pos="10414"/>
              </w:tabs>
            </w:pPr>
            <w:r>
              <w:fldChar w:fldCharType="begin"/>
            </w:r>
            <w:r>
              <w:instrText xml:space="preserve"> HYPERLINK \l _Toc24817 </w:instrText>
            </w:r>
            <w:r>
              <w:fldChar w:fldCharType="separate"/>
            </w:r>
            <w:r>
              <w:rPr>
                <w:rFonts w:hint="default"/>
                <w:lang w:val="en-AU" w:eastAsia="zh-CN"/>
              </w:rPr>
              <w:t>More about TPM 2.0</w:t>
            </w:r>
            <w:r>
              <w:tab/>
            </w:r>
            <w:r>
              <w:fldChar w:fldCharType="begin"/>
            </w:r>
            <w:r>
              <w:instrText xml:space="preserve"> PAGEREF _Toc24817 \h </w:instrText>
            </w:r>
            <w:r>
              <w:fldChar w:fldCharType="separate"/>
            </w:r>
            <w:r>
              <w:t>5</w:t>
            </w:r>
            <w:r>
              <w:fldChar w:fldCharType="end"/>
            </w:r>
            <w:r>
              <w:fldChar w:fldCharType="end"/>
            </w:r>
          </w:p>
          <w:p w14:paraId="2EEE858A">
            <w:pPr>
              <w:pStyle w:val="143"/>
              <w:tabs>
                <w:tab w:val="right" w:leader="dot" w:pos="10414"/>
              </w:tabs>
            </w:pPr>
            <w:r>
              <w:fldChar w:fldCharType="begin"/>
            </w:r>
            <w:r>
              <w:instrText xml:space="preserve"> HYPERLINK \l _Toc19625 </w:instrText>
            </w:r>
            <w:r>
              <w:fldChar w:fldCharType="separate"/>
            </w:r>
            <w:r>
              <w:rPr>
                <w:rFonts w:hint="default"/>
                <w:lang w:val="en-US" w:eastAsia="zh-CN"/>
              </w:rPr>
              <w:t>Use the Microsoft “PC Health Check” App</w:t>
            </w:r>
            <w:r>
              <w:tab/>
            </w:r>
            <w:r>
              <w:fldChar w:fldCharType="begin"/>
            </w:r>
            <w:r>
              <w:instrText xml:space="preserve"> PAGEREF _Toc19625 \h </w:instrText>
            </w:r>
            <w:r>
              <w:fldChar w:fldCharType="separate"/>
            </w:r>
            <w:r>
              <w:t>5</w:t>
            </w:r>
            <w:r>
              <w:fldChar w:fldCharType="end"/>
            </w:r>
            <w:r>
              <w:fldChar w:fldCharType="end"/>
            </w:r>
          </w:p>
          <w:p w14:paraId="3FAFD555">
            <w:pPr>
              <w:pStyle w:val="144"/>
              <w:tabs>
                <w:tab w:val="right" w:leader="dot" w:pos="10414"/>
              </w:tabs>
            </w:pPr>
            <w:r>
              <w:fldChar w:fldCharType="begin"/>
            </w:r>
            <w:r>
              <w:instrText xml:space="preserve"> HYPERLINK \l _Toc23755 </w:instrText>
            </w:r>
            <w:r>
              <w:fldChar w:fldCharType="separate"/>
            </w:r>
            <w:r>
              <w:rPr>
                <w:rFonts w:hint="default"/>
                <w:lang w:val="en-US"/>
              </w:rPr>
              <w:t>How to run it</w:t>
            </w:r>
            <w:r>
              <w:tab/>
            </w:r>
            <w:r>
              <w:fldChar w:fldCharType="begin"/>
            </w:r>
            <w:r>
              <w:instrText xml:space="preserve"> PAGEREF _Toc23755 \h </w:instrText>
            </w:r>
            <w:r>
              <w:fldChar w:fldCharType="separate"/>
            </w:r>
            <w:r>
              <w:t>5</w:t>
            </w:r>
            <w:r>
              <w:fldChar w:fldCharType="end"/>
            </w:r>
            <w:r>
              <w:fldChar w:fldCharType="end"/>
            </w:r>
          </w:p>
          <w:p w14:paraId="672E92E4">
            <w:pPr>
              <w:pStyle w:val="143"/>
              <w:tabs>
                <w:tab w:val="right" w:leader="dot" w:pos="10414"/>
              </w:tabs>
            </w:pPr>
            <w:r>
              <w:fldChar w:fldCharType="begin"/>
            </w:r>
            <w:r>
              <w:instrText xml:space="preserve"> HYPERLINK \l _Toc5111 </w:instrText>
            </w:r>
            <w:r>
              <w:fldChar w:fldCharType="separate"/>
            </w:r>
            <w:r>
              <w:rPr>
                <w:rFonts w:hint="default"/>
                <w:lang w:val="en-AU" w:eastAsia="zh-CN"/>
              </w:rPr>
              <w:t>5 M</w:t>
            </w:r>
            <w:r>
              <w:rPr>
                <w:rFonts w:hint="default"/>
                <w:lang w:val="en-US" w:eastAsia="zh-CN"/>
              </w:rPr>
              <w:t xml:space="preserve">ain </w:t>
            </w:r>
            <w:r>
              <w:rPr>
                <w:rFonts w:hint="default"/>
                <w:lang w:val="en-AU" w:eastAsia="zh-CN"/>
              </w:rPr>
              <w:t>O</w:t>
            </w:r>
            <w:r>
              <w:rPr>
                <w:rFonts w:hint="default"/>
                <w:lang w:val="en-US" w:eastAsia="zh-CN"/>
              </w:rPr>
              <w:t>ptions for Windows 10 users</w:t>
            </w:r>
            <w:r>
              <w:tab/>
            </w:r>
            <w:r>
              <w:fldChar w:fldCharType="begin"/>
            </w:r>
            <w:r>
              <w:instrText xml:space="preserve"> PAGEREF _Toc5111 \h </w:instrText>
            </w:r>
            <w:r>
              <w:fldChar w:fldCharType="separate"/>
            </w:r>
            <w:r>
              <w:t>6</w:t>
            </w:r>
            <w:r>
              <w:fldChar w:fldCharType="end"/>
            </w:r>
            <w:r>
              <w:fldChar w:fldCharType="end"/>
            </w:r>
          </w:p>
          <w:p w14:paraId="34E09075">
            <w:pPr>
              <w:pStyle w:val="143"/>
              <w:tabs>
                <w:tab w:val="right" w:leader="dot" w:pos="10414"/>
              </w:tabs>
            </w:pPr>
            <w:r>
              <w:fldChar w:fldCharType="begin"/>
            </w:r>
            <w:r>
              <w:instrText xml:space="preserve"> HYPERLINK \l _Toc21355 </w:instrText>
            </w:r>
            <w:r>
              <w:fldChar w:fldCharType="separate"/>
            </w:r>
            <w:r>
              <w:t>In summary:</w:t>
            </w:r>
            <w:r>
              <w:tab/>
            </w:r>
            <w:r>
              <w:fldChar w:fldCharType="begin"/>
            </w:r>
            <w:r>
              <w:instrText xml:space="preserve"> PAGEREF _Toc21355 \h </w:instrText>
            </w:r>
            <w:r>
              <w:fldChar w:fldCharType="separate"/>
            </w:r>
            <w:r>
              <w:t>7</w:t>
            </w:r>
            <w:r>
              <w:fldChar w:fldCharType="end"/>
            </w:r>
            <w:r>
              <w:fldChar w:fldCharType="end"/>
            </w:r>
          </w:p>
          <w:p w14:paraId="3AFEB4CD">
            <w:pPr>
              <w:bidi w:val="0"/>
              <w:jc w:val="both"/>
            </w:pPr>
            <w:r>
              <w:fldChar w:fldCharType="end"/>
            </w:r>
          </w:p>
        </w:tc>
      </w:tr>
    </w:tbl>
    <w:p w14:paraId="65BDA2DF">
      <w:pPr>
        <w:bidi w:val="0"/>
        <w:rPr>
          <w:lang w:val="en-US"/>
        </w:rPr>
      </w:pPr>
      <w:bookmarkStart w:id="1" w:name="_Toc167631566"/>
      <w:r>
        <w:rPr>
          <w:lang w:val="en-US"/>
        </w:rPr>
        <w:br w:type="page"/>
      </w:r>
    </w:p>
    <w:p w14:paraId="0093426B">
      <w:pPr>
        <w:bidi w:val="0"/>
        <w:spacing w:line="240" w:lineRule="auto"/>
        <w:rPr>
          <w:lang w:val="en-US"/>
        </w:rPr>
      </w:pPr>
      <w:r>
        <w:rPr>
          <w:b/>
          <w:bCs/>
          <w:sz w:val="36"/>
          <w:szCs w:val="28"/>
          <w:lang w:val="en-US"/>
        </w:rPr>
        <w:t>How to use this manual</w:t>
      </w:r>
      <w:bookmarkEnd w:id="1"/>
      <w:r>
        <w:rPr>
          <w:lang w:val="en-US"/>
        </w:rPr>
        <w:br w:type="textWrapping"/>
      </w:r>
    </w:p>
    <w:p w14:paraId="2E6C037C">
      <w:pPr>
        <w:bidi w:val="0"/>
        <w:spacing w:line="240" w:lineRule="auto"/>
        <w:rPr>
          <w:lang w:val="en-US"/>
        </w:rPr>
      </w:pPr>
      <w:r>
        <w:rPr>
          <w:lang w:val="en-US"/>
        </w:rPr>
        <w:t>Some important information here about what you might see on the following pages.</w:t>
      </w:r>
    </w:p>
    <w:p w14:paraId="35EA9A9C">
      <w:pPr>
        <w:bidi w:val="0"/>
        <w:rPr>
          <w:lang w:val="en-US"/>
        </w:rPr>
      </w:pPr>
      <w:r>
        <w:rPr>
          <w:lang w:val="en-US"/>
        </w:rPr>
        <w:t>Some of my a</w:t>
      </w:r>
      <w:bookmarkStart w:id="10" w:name="_GoBack"/>
      <w:bookmarkEnd w:id="10"/>
      <w:r>
        <w:rPr>
          <w:lang w:val="en-US"/>
        </w:rPr>
        <w:t>bbreviations and extras;</w:t>
      </w:r>
    </w:p>
    <w:p w14:paraId="4B7AAF9C">
      <w:pPr>
        <w:bidi w:val="0"/>
        <w:rPr>
          <w:lang w:val="en-US"/>
        </w:rPr>
      </w:pPr>
      <w:r>
        <w:rPr>
          <w:b/>
          <w:bCs/>
          <w:lang w:val="en-US"/>
        </w:rPr>
        <w:t>NB:</w:t>
      </w:r>
      <w:r>
        <w:rPr>
          <w:lang w:val="en-US"/>
        </w:rPr>
        <w:t xml:space="preserve"> An abbreviation for the Latin phrase "nota bene," which means "note well" or "take notice." I use this to add some extra information to be aware of.</w:t>
      </w:r>
    </w:p>
    <w:p w14:paraId="4B253EFF">
      <w:pPr>
        <w:bidi w:val="0"/>
        <w:rPr>
          <w:lang w:val="en-US"/>
        </w:rPr>
      </w:pPr>
      <w:r>
        <w:rPr>
          <w:b/>
          <w:bCs/>
          <w:lang w:val="en-US"/>
        </w:rPr>
        <w:t>Pro Tip:</w:t>
      </w:r>
      <w:r>
        <w:rPr>
          <w:lang w:val="en-US"/>
        </w:rPr>
        <w:t xml:space="preserve"> You’ll see this where there is an extra bit of info that you need to know for being a pro computer user.</w:t>
      </w:r>
    </w:p>
    <w:p w14:paraId="41162DF7">
      <w:pPr>
        <w:bidi w:val="0"/>
        <w:rPr>
          <w:lang w:val="en-US"/>
        </w:rPr>
      </w:pPr>
      <w:r>
        <w:rPr>
          <w:b/>
          <w:bCs/>
          <w:lang w:val="en-US"/>
        </w:rPr>
        <w:t>Bonus:</w:t>
      </w:r>
      <w:r>
        <w:rPr>
          <w:lang w:val="en-US"/>
        </w:rPr>
        <w:t xml:space="preserve"> This one is similar to the previous one, just some extra info. If the Pro and Bonus are not of interest, just ignore them.</w:t>
      </w:r>
      <w:r>
        <w:rPr>
          <w:lang w:val="en-US"/>
        </w:rPr>
        <w:br w:type="textWrapping"/>
      </w:r>
      <w:r>
        <w:rPr>
          <w:lang w:val="en-US"/>
        </w:rPr>
        <w:t>Advanced: If you see this, some info is considered to be a bit more advanced and if it’s too much, just keep on moving.</w:t>
      </w:r>
    </w:p>
    <w:p w14:paraId="60BF1B98">
      <w:pPr>
        <w:bidi w:val="0"/>
        <w:rPr>
          <w:lang w:val="en-US"/>
        </w:rPr>
      </w:pPr>
      <w:r>
        <w:rPr>
          <w:lang w:val="en-US"/>
        </w:rPr>
        <w:t> </w:t>
      </w:r>
      <w:r>
        <w:drawing>
          <wp:anchor distT="36195" distB="36195" distL="36195" distR="36195" simplePos="0" relativeHeight="251659264" behindDoc="1" locked="0" layoutInCell="1" allowOverlap="1">
            <wp:simplePos x="0" y="0"/>
            <wp:positionH relativeFrom="column">
              <wp:posOffset>1713865</wp:posOffset>
            </wp:positionH>
            <wp:positionV relativeFrom="paragraph">
              <wp:posOffset>175895</wp:posOffset>
            </wp:positionV>
            <wp:extent cx="3218815" cy="1101090"/>
            <wp:effectExtent l="0" t="0" r="635" b="381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3218815" cy="1101090"/>
                    </a:xfrm>
                    <a:prstGeom prst="rect">
                      <a:avLst/>
                    </a:prstGeom>
                    <a:noFill/>
                    <a:ln>
                      <a:noFill/>
                    </a:ln>
                    <a:effectLst/>
                  </pic:spPr>
                </pic:pic>
              </a:graphicData>
            </a:graphic>
          </wp:anchor>
        </w:drawing>
      </w:r>
    </w:p>
    <w:p w14:paraId="31FCED83">
      <w:pPr>
        <w:bidi w:val="0"/>
        <w:rPr>
          <w:lang w:val="en-US"/>
        </w:rPr>
      </w:pPr>
    </w:p>
    <w:p w14:paraId="62984E8F">
      <w:pPr>
        <w:bidi w:val="0"/>
        <w:rPr>
          <w:lang w:val="en-US"/>
        </w:rPr>
      </w:pPr>
    </w:p>
    <w:p w14:paraId="7574AE2B">
      <w:pPr>
        <w:bidi w:val="0"/>
        <w:rPr>
          <w:lang w:val="en-US"/>
        </w:rPr>
      </w:pPr>
    </w:p>
    <w:p w14:paraId="3DFE06EF">
      <w:pPr>
        <w:bidi w:val="0"/>
      </w:pPr>
      <w:r>
        <mc:AlternateContent>
          <mc:Choice Requires="wps">
            <w:drawing>
              <wp:anchor distT="0" distB="0" distL="114300" distR="114300" simplePos="0" relativeHeight="251661312" behindDoc="0" locked="0" layoutInCell="1" allowOverlap="1">
                <wp:simplePos x="0" y="0"/>
                <wp:positionH relativeFrom="column">
                  <wp:posOffset>2194560</wp:posOffset>
                </wp:positionH>
                <wp:positionV relativeFrom="paragraph">
                  <wp:posOffset>21590</wp:posOffset>
                </wp:positionV>
                <wp:extent cx="2912110" cy="384810"/>
                <wp:effectExtent l="4445" t="5080" r="17145" b="10160"/>
                <wp:wrapNone/>
                <wp:docPr id="17" name="Text Box 17"/>
                <wp:cNvGraphicFramePr/>
                <a:graphic xmlns:a="http://schemas.openxmlformats.org/drawingml/2006/main">
                  <a:graphicData uri="http://schemas.microsoft.com/office/word/2010/wordprocessingShape">
                    <wps:wsp>
                      <wps:cNvSpPr txBox="1"/>
                      <wps:spPr>
                        <a:xfrm>
                          <a:off x="2994660" y="9600565"/>
                          <a:ext cx="2912110" cy="3848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C297D81">
                            <w:r>
                              <w:rPr>
                                <w:rFonts w:ascii="Calibri" w:hAnsi="Calibri" w:cs="Calibri"/>
                                <w:szCs w:val="32"/>
                              </w:rPr>
                              <w:t>www.</w:t>
                            </w:r>
                            <w:r>
                              <w:rPr>
                                <w:rFonts w:ascii="Calibri" w:hAnsi="Calibri" w:cs="Calibri"/>
                                <w:szCs w:val="32"/>
                                <w:lang w:val="en-US"/>
                              </w:rPr>
                              <w:t>linktr.ee/hobstar</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2.8pt;margin-top:1.7pt;height:30.3pt;width:229.3pt;z-index:251661312;mso-width-relative:page;mso-height-relative:page;" fillcolor="#FFFFFF [3201]" filled="t" stroked="t" coordsize="21600,21600" o:gfxdata="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8iMvZtUAAAAIAQAADwAA&#10;AAAAAAABACAAAAAiAAAAZHJzL2Rvd25yZXYueG1sUEsBAhQAFAAAAAgAh07iQMzyfgZSAgAAxAQA&#10;AA4AAAAAAAAAAQAgAAAAJAEAAGRycy9lMm9Eb2MueG1sUEsFBgAAAAAGAAYAWQEAAOgFAAAAAA==&#10;">
                <v:fill on="t" focussize="0,0"/>
                <v:stroke weight="0.5pt" color="#000000 [3204]" joinstyle="round"/>
                <v:imagedata o:title=""/>
                <o:lock v:ext="edit" aspectratio="f"/>
                <v:textbox>
                  <w:txbxContent>
                    <w:p w14:paraId="3C297D81">
                      <w:r>
                        <w:rPr>
                          <w:rFonts w:ascii="Calibri" w:hAnsi="Calibri" w:cs="Calibri"/>
                          <w:szCs w:val="32"/>
                        </w:rPr>
                        <w:t>www.</w:t>
                      </w:r>
                      <w:r>
                        <w:rPr>
                          <w:rFonts w:ascii="Calibri" w:hAnsi="Calibri" w:cs="Calibri"/>
                          <w:szCs w:val="32"/>
                          <w:lang w:val="en-US"/>
                        </w:rPr>
                        <w:t>linktr.ee/hobstar</w:t>
                      </w:r>
                    </w:p>
                  </w:txbxContent>
                </v:textbox>
              </v:shape>
            </w:pict>
          </mc:Fallback>
        </mc:AlternateContent>
      </w:r>
    </w:p>
    <w:p w14:paraId="08E0CF9E">
      <w:pPr>
        <w:bidi w:val="0"/>
      </w:pPr>
    </w:p>
    <w:p w14:paraId="753E0A6B">
      <w:pPr>
        <w:bidi w:val="0"/>
      </w:pPr>
      <w:r>
        <w:t xml:space="preserve">NEW! Find these files online at </w:t>
      </w:r>
      <w:r>
        <w:fldChar w:fldCharType="begin"/>
      </w:r>
      <w:r>
        <w:instrText xml:space="preserve"> HYPERLINK "http://www.hobstar.io/training/community/" </w:instrText>
      </w:r>
      <w:r>
        <w:fldChar w:fldCharType="separate"/>
      </w:r>
      <w:r>
        <w:rPr>
          <w:rStyle w:val="51"/>
          <w:rFonts w:asciiTheme="minorHAnsi" w:hAnsiTheme="minorHAnsi" w:cstheme="minorHAnsi"/>
        </w:rPr>
        <w:t>www.hobstar.io/training/community/</w:t>
      </w:r>
      <w:r>
        <w:rPr>
          <w:rStyle w:val="51"/>
          <w:rFonts w:asciiTheme="minorHAnsi" w:hAnsiTheme="minorHAnsi" w:cstheme="minorHAnsi"/>
        </w:rPr>
        <w:fldChar w:fldCharType="end"/>
      </w:r>
    </w:p>
    <w:p w14:paraId="3B609A5A">
      <w:pPr>
        <w:bidi w:val="0"/>
        <w:rPr>
          <w:u w:val="single"/>
          <w:lang w:val="en-US"/>
        </w:rPr>
      </w:pPr>
      <w:r>
        <w:rPr>
          <w:u w:val="single"/>
          <w:lang w:val="en-US"/>
        </w:rPr>
        <w:t>Document Info</w:t>
      </w:r>
    </w:p>
    <w:p w14:paraId="31128DE0">
      <w:pPr>
        <w:bidi w:val="0"/>
        <w:rPr>
          <w:rFonts w:hint="default"/>
          <w:lang w:val="en-US"/>
        </w:rPr>
      </w:pPr>
      <w:r>
        <w:rPr>
          <w:lang w:val="en-US"/>
        </w:rPr>
        <w:t>V 0.</w:t>
      </w:r>
      <w:r>
        <w:rPr>
          <w:rFonts w:hint="default"/>
          <w:lang w:val="en-US"/>
        </w:rPr>
        <w:t>1</w:t>
      </w:r>
      <w:r>
        <w:rPr>
          <w:lang w:val="en-US"/>
        </w:rPr>
        <w:t xml:space="preserve"> - Created - Q</w:t>
      </w:r>
      <w:r>
        <w:rPr>
          <w:rFonts w:hint="default"/>
          <w:lang w:val="en-AU"/>
        </w:rPr>
        <w:t>2</w:t>
      </w:r>
      <w:r>
        <w:rPr>
          <w:lang w:val="en-US"/>
        </w:rPr>
        <w:t xml:space="preserve"> - </w:t>
      </w:r>
      <w:r>
        <w:rPr>
          <w:rFonts w:hint="default"/>
          <w:lang w:val="en-US"/>
        </w:rPr>
        <w:t>2025</w:t>
      </w:r>
    </w:p>
    <w:p w14:paraId="69F90D46">
      <w:pPr>
        <w:bidi w:val="0"/>
        <w:rPr>
          <w:lang w:val="en-US"/>
        </w:rPr>
      </w:pPr>
      <w:r>
        <w:rPr>
          <w:lang w:val="en-US"/>
        </w:rPr>
        <w:br w:type="page"/>
      </w:r>
    </w:p>
    <w:p w14:paraId="42FF8BD8">
      <w:pPr>
        <w:pStyle w:val="3"/>
        <w:bidi w:val="0"/>
        <w:spacing w:line="240" w:lineRule="auto"/>
        <w:rPr>
          <w:rFonts w:hint="default"/>
          <w:lang w:val="en-US" w:eastAsia="zh-CN"/>
        </w:rPr>
      </w:pPr>
      <w:bookmarkStart w:id="2" w:name="_Toc1191"/>
      <w:r>
        <w:rPr>
          <w:rFonts w:hint="default"/>
          <w:lang w:val="en-US" w:eastAsia="zh-CN"/>
        </w:rPr>
        <w:t>What’s Happening to Windows 10?</w:t>
      </w:r>
      <w:bookmarkEnd w:id="2"/>
    </w:p>
    <w:p w14:paraId="4C60C3ED">
      <w:pPr>
        <w:bidi w:val="0"/>
        <w:spacing w:line="240" w:lineRule="auto"/>
        <w:rPr>
          <w:rFonts w:hint="default"/>
          <w:b w:val="0"/>
          <w:bCs w:val="0"/>
          <w:lang w:val="en-AU" w:eastAsia="zh-CN"/>
        </w:rPr>
      </w:pPr>
      <w:r>
        <w:rPr>
          <w:rFonts w:hint="default"/>
          <w:lang w:val="en-US" w:eastAsia="zh-CN"/>
        </w:rPr>
        <w:br w:type="textWrapping"/>
      </w:r>
      <w:r>
        <w:rPr>
          <w:rFonts w:hint="default"/>
          <w:b/>
          <w:bCs/>
          <w:lang w:val="en-AU" w:eastAsia="zh-CN"/>
        </w:rPr>
        <w:t xml:space="preserve">NB: </w:t>
      </w:r>
      <w:r>
        <w:rPr>
          <w:rFonts w:hint="default"/>
          <w:b w:val="0"/>
          <w:bCs w:val="0"/>
          <w:lang w:val="en-AU" w:eastAsia="zh-CN"/>
        </w:rPr>
        <w:t>If you already have Windows 11, are using an Apple computer, using a Chromebook or a Linux distribution; you don’t need to do anything. If you are currently using Windows 10, read on.</w:t>
      </w:r>
    </w:p>
    <w:p w14:paraId="0DE6C69B">
      <w:pPr>
        <w:bidi w:val="0"/>
        <w:spacing w:line="240" w:lineRule="auto"/>
      </w:pPr>
      <w:r>
        <w:rPr>
          <w:lang w:val="en-US" w:eastAsia="zh-CN"/>
        </w:rPr>
        <w:t>Windows 10 will reach its official end of support on October 14, 2025. After this date, Microsoft will no longer provide free software updates, technical assistance, or security fixes for Windows 10</w:t>
      </w:r>
      <w:r>
        <w:rPr>
          <w:lang w:val="en-US" w:eastAsia="zh-CN"/>
        </w:rPr>
        <w:fldChar w:fldCharType="begin"/>
      </w:r>
      <w:r>
        <w:rPr>
          <w:lang w:val="en-US" w:eastAsia="zh-CN"/>
        </w:rPr>
        <w:instrText xml:space="preserve"> HYPERLINK "https://www.techzine.eu/blogs/applications/131786/these-are-the-eol-dates-for-windows-10-and-windows-11/" \t "https://www.perplexity.ai/search/_blank" </w:instrText>
      </w:r>
      <w:r>
        <w:rPr>
          <w:lang w:val="en-US" w:eastAsia="zh-CN"/>
        </w:rPr>
        <w:fldChar w:fldCharType="separate"/>
      </w:r>
      <w:r>
        <w:rPr>
          <w:lang w:val="en-US" w:eastAsia="zh-CN"/>
        </w:rPr>
        <w:fldChar w:fldCharType="end"/>
      </w:r>
      <w:r>
        <w:rPr>
          <w:lang w:val="en-US" w:eastAsia="zh-CN"/>
        </w:rPr>
        <w:fldChar w:fldCharType="begin"/>
      </w:r>
      <w:r>
        <w:rPr>
          <w:lang w:val="en-US" w:eastAsia="zh-CN"/>
        </w:rPr>
        <w:instrText xml:space="preserve"> HYPERLINK "https://www.microsoft.com/en-gb/windows/end-of-support" \t "https://www.perplexity.ai/search/_blank" </w:instrText>
      </w:r>
      <w:r>
        <w:rPr>
          <w:lang w:val="en-US" w:eastAsia="zh-CN"/>
        </w:rPr>
        <w:fldChar w:fldCharType="separate"/>
      </w:r>
      <w:r>
        <w:rPr>
          <w:lang w:val="en-US" w:eastAsia="zh-CN"/>
        </w:rPr>
        <w:fldChar w:fldCharType="end"/>
      </w:r>
      <w:r>
        <w:rPr>
          <w:lang w:val="en-US" w:eastAsia="zh-CN"/>
        </w:rPr>
        <w:fldChar w:fldCharType="begin"/>
      </w:r>
      <w:r>
        <w:rPr>
          <w:lang w:val="en-US" w:eastAsia="zh-CN"/>
        </w:rPr>
        <w:instrText xml:space="preserve"> HYPERLINK "https://support.microsoft.com/en-au/windows/windows-10-support-ends-on-october-14-2025-2ca8b313-1946-43d3-b55c-2b95b107f281" \t "https://www.perplexity.ai/search/_blank" </w:instrText>
      </w:r>
      <w:r>
        <w:rPr>
          <w:lang w:val="en-US" w:eastAsia="zh-CN"/>
        </w:rPr>
        <w:fldChar w:fldCharType="separate"/>
      </w:r>
      <w:r>
        <w:rPr>
          <w:lang w:val="en-US" w:eastAsia="zh-CN"/>
        </w:rPr>
        <w:fldChar w:fldCharType="end"/>
      </w:r>
      <w:r>
        <w:rPr>
          <w:lang w:val="en-US" w:eastAsia="zh-CN"/>
        </w:rPr>
        <w:t xml:space="preserve">. This means that while Windows 10 </w:t>
      </w:r>
      <w:r>
        <w:rPr>
          <w:u w:val="single"/>
          <w:lang w:val="en-US" w:eastAsia="zh-CN"/>
        </w:rPr>
        <w:t>will continue to function</w:t>
      </w:r>
      <w:r>
        <w:rPr>
          <w:lang w:val="en-US" w:eastAsia="zh-CN"/>
        </w:rPr>
        <w:t xml:space="preserve">, it will become increasingly vulnerable to security risks such as viruses and malware, as </w:t>
      </w:r>
      <w:r>
        <w:rPr>
          <w:u w:val="single"/>
          <w:lang w:val="en-US" w:eastAsia="zh-CN"/>
        </w:rPr>
        <w:t>no further security updates</w:t>
      </w:r>
      <w:r>
        <w:rPr>
          <w:lang w:val="en-US" w:eastAsia="zh-CN"/>
        </w:rPr>
        <w:t xml:space="preserve"> will be issued</w:t>
      </w:r>
      <w:r>
        <w:rPr>
          <w:rFonts w:hint="default"/>
          <w:lang w:val="en-AU" w:eastAsia="zh-CN"/>
        </w:rPr>
        <w:t>.</w:t>
      </w:r>
      <w:r>
        <w:rPr>
          <w:lang w:val="en-US" w:eastAsia="zh-CN"/>
        </w:rPr>
        <w:fldChar w:fldCharType="begin"/>
      </w:r>
      <w:r>
        <w:rPr>
          <w:lang w:val="en-US" w:eastAsia="zh-CN"/>
        </w:rPr>
        <w:instrText xml:space="preserve"> HYPERLINK "https://support.microsoft.com/en-au/windows/windows-10-support-ends-on-october-14-2025-2ca8b313-1946-43d3-b55c-2b95b107f281" \t "https://www.perplexity.ai/search/_blank" </w:instrText>
      </w:r>
      <w:r>
        <w:rPr>
          <w:lang w:val="en-US" w:eastAsia="zh-CN"/>
        </w:rPr>
        <w:fldChar w:fldCharType="separate"/>
      </w:r>
      <w:r>
        <w:rPr>
          <w:lang w:val="en-US" w:eastAsia="zh-CN"/>
        </w:rPr>
        <w:fldChar w:fldCharType="end"/>
      </w:r>
    </w:p>
    <w:p w14:paraId="41E8126B">
      <w:pPr>
        <w:bidi w:val="0"/>
        <w:spacing w:line="240" w:lineRule="auto"/>
      </w:pPr>
      <w:r>
        <w:t>The final supported version of Windows 10 will be version 22H2, and all editions of Windows 10 will cease to receive updates after the end-of-support date</w:t>
      </w:r>
      <w:r>
        <w:rPr>
          <w:rFonts w:hint="default"/>
          <w:lang w:val="en-AU"/>
        </w:rPr>
        <w:t>.</w:t>
      </w:r>
      <w:r>
        <w:fldChar w:fldCharType="begin"/>
      </w:r>
      <w:r>
        <w:instrText xml:space="preserve"> HYPERLINK "https://www.techzine.eu/blogs/applications/131786/these-are-the-eol-dates-for-windows-10-and-windows-11/" \t "https://www.perplexity.ai/search/_blank" </w:instrText>
      </w:r>
      <w:r>
        <w:fldChar w:fldCharType="separate"/>
      </w:r>
      <w:r>
        <w:fldChar w:fldCharType="end"/>
      </w:r>
    </w:p>
    <w:p w14:paraId="45FA7462">
      <w:pPr>
        <w:bidi w:val="0"/>
        <w:spacing w:line="240" w:lineRule="auto"/>
      </w:pPr>
      <w:r>
        <w:rPr>
          <w:lang w:val="en-US" w:eastAsia="zh-CN"/>
        </w:rPr>
        <w:t>Earlier versions, such as 21H2, have already reached their end of life and are considered unsafe to use</w:t>
      </w:r>
      <w:r>
        <w:rPr>
          <w:lang w:val="en-US" w:eastAsia="zh-CN"/>
        </w:rPr>
        <w:fldChar w:fldCharType="begin"/>
      </w:r>
      <w:r>
        <w:rPr>
          <w:lang w:val="en-US" w:eastAsia="zh-CN"/>
        </w:rPr>
        <w:instrText xml:space="preserve"> HYPERLINK "https://www.techzine.eu/blogs/applications/131786/these-are-the-eol-dates-for-windows-10-and-windows-11/" \t "https://www.perplexity.ai/search/_blank" </w:instrText>
      </w:r>
      <w:r>
        <w:rPr>
          <w:lang w:val="en-US" w:eastAsia="zh-CN"/>
        </w:rPr>
        <w:fldChar w:fldCharType="separate"/>
      </w:r>
      <w:r>
        <w:rPr>
          <w:lang w:val="en-US" w:eastAsia="zh-CN"/>
        </w:rPr>
        <w:fldChar w:fldCharType="end"/>
      </w:r>
    </w:p>
    <w:p w14:paraId="225DD455">
      <w:pPr>
        <w:bidi w:val="0"/>
        <w:spacing w:line="240" w:lineRule="auto"/>
      </w:pPr>
      <w:r>
        <w:t>For organizations and consumers needing more time to transition, Microsoft offers a paid Extended Security Updates (ESU) program. Consumers can purchase up to one additional year of support for around $30, while organizations can buy up to three years of extended support at increasing costs per device, potentially totaling $427 over three years</w:t>
      </w:r>
      <w:r>
        <w:rPr>
          <w:rFonts w:hint="default"/>
          <w:lang w:val="en-AU"/>
        </w:rPr>
        <w:t>.</w:t>
      </w:r>
      <w:r>
        <w:fldChar w:fldCharType="begin"/>
      </w:r>
      <w:r>
        <w:instrText xml:space="preserve"> HYPERLINK "https://www.techzine.eu/blogs/applications/131786/these-are-the-eol-dates-for-windows-10-and-windows-11/" \t "https://www.perplexity.ai/search/_blank" </w:instrText>
      </w:r>
      <w:r>
        <w:fldChar w:fldCharType="separate"/>
      </w:r>
      <w:r>
        <w:fldChar w:fldCharType="end"/>
      </w:r>
    </w:p>
    <w:p w14:paraId="1757FEE6">
      <w:pPr>
        <w:bidi w:val="0"/>
        <w:spacing w:line="240" w:lineRule="auto"/>
      </w:pPr>
      <w:r>
        <w:t>Users who cannot upgrade to Windows 11 due to hardware limitations or other reasons have alternatives such as purchasing a new compatible PC or switching to other operating systems like Linux, which can run on older hardware and remain secure</w:t>
      </w:r>
      <w:r>
        <w:rPr>
          <w:rFonts w:hint="default"/>
          <w:lang w:val="en-AU"/>
        </w:rPr>
        <w:t>.</w:t>
      </w:r>
      <w:r>
        <w:fldChar w:fldCharType="begin"/>
      </w:r>
      <w:r>
        <w:instrText xml:space="preserve"> HYPERLINK "https://www.zdnet.com/article/end-of-10-offers-hope-and-help-to-windows-10-users-who-cant-upgrade/" \t "https://www.perplexity.ai/search/_blank" </w:instrText>
      </w:r>
      <w:r>
        <w:fldChar w:fldCharType="separate"/>
      </w:r>
      <w:r>
        <w:fldChar w:fldCharType="end"/>
      </w:r>
    </w:p>
    <w:p w14:paraId="09B376A4">
      <w:pPr>
        <w:bidi w:val="0"/>
        <w:spacing w:line="240" w:lineRule="auto"/>
      </w:pPr>
      <w:r>
        <w:t>Special cases include Windows 10 Long-Term Servicing Channel (LTSC) editions, which have different support timelines. For example, Windows 10 LTSC 2021 support ends in 2027, and LTSC IoT Enterprise support extends until 2032</w:t>
      </w:r>
      <w:r>
        <w:fldChar w:fldCharType="begin"/>
      </w:r>
      <w:r>
        <w:instrText xml:space="preserve"> HYPERLINK "https://www.reddit.com/r/Windows10/comments/1bdruvg/windows_10_end_of_support/" \t "https://www.perplexity.ai/search/_blank" </w:instrText>
      </w:r>
      <w:r>
        <w:fldChar w:fldCharType="separate"/>
      </w:r>
      <w:r>
        <w:fldChar w:fldCharType="end"/>
      </w:r>
    </w:p>
    <w:p w14:paraId="46FBA046">
      <w:r>
        <w:br w:type="page"/>
      </w:r>
    </w:p>
    <w:p w14:paraId="33EEC8A5">
      <w:pPr>
        <w:pStyle w:val="3"/>
        <w:bidi w:val="0"/>
        <w:spacing w:line="240" w:lineRule="auto"/>
        <w:rPr>
          <w:rFonts w:hint="default"/>
          <w:lang w:val="en-US" w:eastAsia="zh-CN"/>
        </w:rPr>
      </w:pPr>
      <w:bookmarkStart w:id="3" w:name="_Toc4428"/>
      <w:r>
        <w:rPr>
          <w:rFonts w:hint="default"/>
          <w:lang w:val="en-AU" w:eastAsia="zh-CN"/>
        </w:rPr>
        <w:t>M</w:t>
      </w:r>
      <w:r>
        <w:rPr>
          <w:rFonts w:hint="default"/>
          <w:lang w:val="en-US" w:eastAsia="zh-CN"/>
        </w:rPr>
        <w:t>inimum hardware requirements</w:t>
      </w:r>
      <w:bookmarkEnd w:id="3"/>
    </w:p>
    <w:p w14:paraId="117F4B81">
      <w:pPr>
        <w:pStyle w:val="3"/>
        <w:bidi w:val="0"/>
        <w:spacing w:line="240" w:lineRule="auto"/>
        <w:rPr>
          <w:rFonts w:hint="default"/>
          <w:lang w:val="en-US" w:eastAsia="zh-CN"/>
        </w:rPr>
      </w:pPr>
      <w:bookmarkStart w:id="4" w:name="_Toc16063"/>
      <w:r>
        <w:rPr>
          <w:rFonts w:hint="default"/>
          <w:lang w:val="en-US" w:eastAsia="zh-CN"/>
        </w:rPr>
        <w:t>to upgrade to Windows 11</w:t>
      </w:r>
      <w:bookmarkEnd w:id="4"/>
    </w:p>
    <w:p w14:paraId="1BFEAD85">
      <w:pPr>
        <w:rPr>
          <w:rFonts w:hint="default"/>
          <w:lang w:val="en-US" w:eastAsia="zh-CN"/>
        </w:rPr>
      </w:pPr>
      <w:r>
        <w:rPr>
          <w:rFonts w:hint="default"/>
          <w:b/>
          <w:bCs/>
          <w:lang w:val="en-AU" w:eastAsia="zh-CN"/>
        </w:rPr>
        <w:t>Processor</w:t>
      </w:r>
      <w:r>
        <w:rPr>
          <w:rFonts w:hint="default"/>
          <w:b/>
          <w:bCs/>
          <w:lang w:val="en-US" w:eastAsia="zh-CN"/>
        </w:rPr>
        <w:t xml:space="preserve">: </w:t>
      </w:r>
      <w:r>
        <w:rPr>
          <w:rFonts w:hint="default"/>
          <w:lang w:val="en-US" w:eastAsia="zh-CN"/>
        </w:rPr>
        <w:t xml:space="preserve">1 GHz or faster with 2 or more cores on a compatible 64-bit processor or System on a Chip (SoC). Supported processors include </w:t>
      </w:r>
      <w:r>
        <w:rPr>
          <w:rFonts w:hint="default"/>
          <w:u w:val="single"/>
          <w:lang w:val="en-US" w:eastAsia="zh-CN"/>
        </w:rPr>
        <w:t>8th generation Intel Core CPUs or newer</w:t>
      </w:r>
      <w:r>
        <w:rPr>
          <w:rFonts w:hint="default"/>
          <w:lang w:val="en-US" w:eastAsia="zh-CN"/>
        </w:rPr>
        <w:t xml:space="preserve">, </w:t>
      </w:r>
      <w:r>
        <w:rPr>
          <w:rFonts w:hint="default"/>
          <w:u w:val="single"/>
          <w:lang w:val="en-US" w:eastAsia="zh-CN"/>
        </w:rPr>
        <w:t>2nd generation AMD Ryzen or newe</w:t>
      </w:r>
      <w:r>
        <w:rPr>
          <w:rFonts w:hint="default"/>
          <w:lang w:val="en-US" w:eastAsia="zh-CN"/>
        </w:rPr>
        <w:t xml:space="preserve">r, and </w:t>
      </w:r>
      <w:r>
        <w:rPr>
          <w:rFonts w:hint="default"/>
          <w:u w:val="single"/>
          <w:lang w:val="en-US" w:eastAsia="zh-CN"/>
        </w:rPr>
        <w:t>Qualcomm Snapdragon 850 or newer</w:t>
      </w:r>
    </w:p>
    <w:p w14:paraId="15448E3E">
      <w:pPr>
        <w:rPr>
          <w:rFonts w:hint="default"/>
          <w:lang w:val="en-US" w:eastAsia="zh-CN"/>
        </w:rPr>
      </w:pPr>
      <w:r>
        <w:rPr>
          <w:rFonts w:hint="default"/>
          <w:b/>
          <w:bCs/>
          <w:lang w:val="en-AU" w:eastAsia="zh-CN"/>
        </w:rPr>
        <w:t xml:space="preserve">RAM: </w:t>
      </w:r>
      <w:r>
        <w:rPr>
          <w:rFonts w:hint="default"/>
          <w:lang w:val="en-US" w:eastAsia="zh-CN"/>
        </w:rPr>
        <w:t>At least 4 GB.</w:t>
      </w:r>
    </w:p>
    <w:p w14:paraId="7DBA1BFD">
      <w:pPr>
        <w:rPr>
          <w:rFonts w:hint="default"/>
          <w:lang w:val="en-US" w:eastAsia="zh-CN"/>
        </w:rPr>
      </w:pPr>
      <w:r>
        <w:rPr>
          <w:rFonts w:hint="default"/>
          <w:b/>
          <w:bCs/>
          <w:lang w:val="en-AU" w:eastAsia="zh-CN"/>
        </w:rPr>
        <w:t>Storage:</w:t>
      </w:r>
      <w:r>
        <w:rPr>
          <w:rFonts w:hint="default"/>
          <w:lang w:val="en-AU" w:eastAsia="zh-CN"/>
        </w:rPr>
        <w:t xml:space="preserve"> </w:t>
      </w:r>
      <w:r>
        <w:rPr>
          <w:rFonts w:hint="default"/>
          <w:lang w:val="en-US" w:eastAsia="zh-CN"/>
        </w:rPr>
        <w:t>64 GB or larger.</w:t>
      </w:r>
    </w:p>
    <w:p w14:paraId="13EBF17B">
      <w:pPr>
        <w:rPr>
          <w:rFonts w:hint="default"/>
          <w:lang w:val="en-US" w:eastAsia="zh-CN"/>
        </w:rPr>
      </w:pPr>
      <w:r>
        <w:rPr>
          <w:rFonts w:hint="default"/>
          <w:b/>
          <w:bCs/>
          <w:lang w:val="en-AU" w:eastAsia="zh-CN"/>
        </w:rPr>
        <w:t>System firmware:</w:t>
      </w:r>
      <w:r>
        <w:rPr>
          <w:rFonts w:hint="default"/>
          <w:lang w:val="en-AU" w:eastAsia="zh-CN"/>
        </w:rPr>
        <w:t xml:space="preserve"> </w:t>
      </w:r>
      <w:r>
        <w:rPr>
          <w:rFonts w:hint="default"/>
          <w:lang w:val="en-US" w:eastAsia="zh-CN"/>
        </w:rPr>
        <w:t>UEFI with Secure Boot capability (Legacy BIOS not supported).</w:t>
      </w:r>
    </w:p>
    <w:p w14:paraId="422315BD">
      <w:pPr>
        <w:rPr>
          <w:rFonts w:hint="default"/>
          <w:u w:val="single"/>
          <w:lang w:val="en-US" w:eastAsia="zh-CN"/>
        </w:rPr>
      </w:pPr>
      <w:r>
        <w:rPr>
          <w:rFonts w:hint="default"/>
          <w:b/>
          <w:bCs/>
          <w:u w:val="single"/>
          <w:lang w:val="en-AU" w:eastAsia="zh-CN"/>
        </w:rPr>
        <w:t>Security:</w:t>
      </w:r>
      <w:r>
        <w:rPr>
          <w:rFonts w:hint="default"/>
          <w:u w:val="single"/>
          <w:lang w:val="en-AU" w:eastAsia="zh-CN"/>
        </w:rPr>
        <w:t xml:space="preserve"> </w:t>
      </w:r>
      <w:r>
        <w:rPr>
          <w:rFonts w:hint="default"/>
          <w:u w:val="single"/>
          <w:lang w:val="en-US" w:eastAsia="zh-CN"/>
        </w:rPr>
        <w:t>Trusted Platform Module (TPM) version 2.0 enabled.</w:t>
      </w:r>
    </w:p>
    <w:p w14:paraId="2026AC61">
      <w:pPr>
        <w:rPr>
          <w:rFonts w:hint="default"/>
          <w:lang w:val="en-US" w:eastAsia="zh-CN"/>
        </w:rPr>
      </w:pPr>
      <w:r>
        <w:rPr>
          <w:rFonts w:hint="default"/>
          <w:b/>
          <w:bCs/>
          <w:lang w:val="en-AU" w:eastAsia="zh-CN"/>
        </w:rPr>
        <w:t xml:space="preserve">Graphics card: </w:t>
      </w:r>
      <w:r>
        <w:rPr>
          <w:rFonts w:hint="default"/>
          <w:lang w:val="en-US" w:eastAsia="zh-CN"/>
        </w:rPr>
        <w:t>Compatible with DirectX 12 or later with WDDM 2.0 driver.</w:t>
      </w:r>
    </w:p>
    <w:p w14:paraId="47B39DBA">
      <w:pPr>
        <w:rPr>
          <w:rFonts w:hint="default"/>
          <w:lang w:val="en-US" w:eastAsia="zh-CN"/>
        </w:rPr>
      </w:pPr>
      <w:r>
        <w:rPr>
          <w:rFonts w:hint="default"/>
          <w:b/>
          <w:bCs/>
          <w:lang w:val="en-AU" w:eastAsia="zh-CN"/>
        </w:rPr>
        <w:t xml:space="preserve">Display: </w:t>
      </w:r>
      <w:r>
        <w:rPr>
          <w:rFonts w:hint="default"/>
          <w:lang w:val="en-US" w:eastAsia="zh-CN"/>
        </w:rPr>
        <w:t>High definition (720p) display greater than 9 inches diagonally, with 8 bits per color channel.</w:t>
      </w:r>
    </w:p>
    <w:p w14:paraId="4124C5C4">
      <w:pPr>
        <w:rPr>
          <w:rFonts w:hint="default"/>
          <w:u w:val="single"/>
          <w:lang w:val="en-US" w:eastAsia="zh-CN"/>
        </w:rPr>
      </w:pPr>
      <w:r>
        <w:rPr>
          <w:rFonts w:hint="default"/>
          <w:b/>
          <w:bCs/>
          <w:u w:val="single"/>
          <w:lang w:val="en-AU" w:eastAsia="zh-CN"/>
        </w:rPr>
        <w:t>Internet and Microsoft account:</w:t>
      </w:r>
      <w:r>
        <w:rPr>
          <w:rFonts w:hint="default"/>
          <w:u w:val="single"/>
          <w:lang w:val="en-AU" w:eastAsia="zh-CN"/>
        </w:rPr>
        <w:t xml:space="preserve"> </w:t>
      </w:r>
      <w:r>
        <w:rPr>
          <w:rFonts w:hint="default"/>
          <w:u w:val="single"/>
          <w:lang w:val="en-US" w:eastAsia="zh-CN"/>
        </w:rPr>
        <w:t>Required for initial setup on Windows 11 Home and Pro editions.</w:t>
      </w:r>
    </w:p>
    <w:p w14:paraId="3B622F15">
      <w:pPr>
        <w:rPr>
          <w:rFonts w:hint="default"/>
          <w:lang w:val="en-US" w:eastAsia="zh-CN"/>
        </w:rPr>
      </w:pPr>
      <w:r>
        <w:rPr>
          <w:rFonts w:hint="default"/>
          <w:lang w:val="en-US" w:eastAsia="zh-CN"/>
        </w:rPr>
        <w:t>These requirements represent a significant increase over Windows 10, particularly the mandatory TPM 2.0 and processor generation requirements, which are intended to improve security and system reliability. If your PC does not meet these requirements, Microsoft recommends continuing to use Windows 10 until the end of its support or considering a new compatible device.</w:t>
      </w:r>
    </w:p>
    <w:p w14:paraId="426B95DD">
      <w:pPr>
        <w:rPr>
          <w:rFonts w:hint="default"/>
          <w:lang w:val="en-US" w:eastAsia="zh-CN"/>
        </w:rPr>
      </w:pPr>
      <w:r>
        <w:rPr>
          <w:rFonts w:hint="default"/>
          <w:lang w:val="en-US" w:eastAsia="zh-CN"/>
        </w:rPr>
        <w:t xml:space="preserve">   </w:t>
      </w:r>
    </w:p>
    <w:p w14:paraId="75EAC050">
      <w:pPr>
        <w:rPr>
          <w:rFonts w:hint="default"/>
          <w:lang w:val="en-US" w:eastAsia="zh-CN"/>
        </w:rPr>
      </w:pPr>
      <w:r>
        <w:rPr>
          <w:rFonts w:hint="default"/>
          <w:lang w:val="en-US" w:eastAsia="zh-CN"/>
        </w:rPr>
        <w:br w:type="page"/>
      </w:r>
    </w:p>
    <w:p w14:paraId="11FA544A">
      <w:pPr>
        <w:pStyle w:val="3"/>
        <w:bidi w:val="0"/>
        <w:rPr>
          <w:rFonts w:hint="default"/>
          <w:lang w:val="en-AU" w:eastAsia="zh-CN"/>
        </w:rPr>
      </w:pPr>
      <w:bookmarkStart w:id="5" w:name="_Toc24817"/>
      <w:r>
        <w:rPr>
          <w:rFonts w:hint="default"/>
          <w:lang w:val="en-AU" w:eastAsia="zh-CN"/>
        </w:rPr>
        <w:t>More about TPM 2.0</w:t>
      </w:r>
      <w:bookmarkEnd w:id="5"/>
    </w:p>
    <w:p w14:paraId="02AFA475">
      <w:pPr>
        <w:rPr>
          <w:rFonts w:hint="default"/>
          <w:lang w:val="en-US" w:eastAsia="zh-CN"/>
        </w:rPr>
      </w:pPr>
      <w:r>
        <w:rPr>
          <w:rFonts w:hint="default"/>
          <w:lang w:val="en-US" w:eastAsia="zh-CN"/>
        </w:rPr>
        <w:t xml:space="preserve"> TPM 2.0 is a hardware chip that provides a secure environment for storing cryptographic keys and verifying system integrity.</w:t>
      </w:r>
    </w:p>
    <w:p w14:paraId="53829C51">
      <w:pPr>
        <w:rPr>
          <w:rFonts w:hint="default"/>
          <w:lang w:val="en-US" w:eastAsia="zh-CN"/>
        </w:rPr>
      </w:pPr>
      <w:r>
        <w:rPr>
          <w:rFonts w:hint="default"/>
          <w:lang w:val="en-US" w:eastAsia="zh-CN"/>
        </w:rPr>
        <w:t>It enhances security by protecting sensitive data and ensuring the PC boots with trusted software.</w:t>
      </w:r>
    </w:p>
    <w:p w14:paraId="40971C22">
      <w:pPr>
        <w:rPr>
          <w:rFonts w:hint="default"/>
          <w:lang w:val="en-US" w:eastAsia="zh-CN"/>
        </w:rPr>
      </w:pPr>
      <w:r>
        <w:rPr>
          <w:rFonts w:hint="default"/>
          <w:lang w:val="en-US" w:eastAsia="zh-CN"/>
        </w:rPr>
        <w:t>TPM 2.0 is mandatory for Windows 11 to meet modern security standards, including secure boot and disk encryption.</w:t>
      </w:r>
    </w:p>
    <w:p w14:paraId="3DE25853">
      <w:pPr>
        <w:rPr>
          <w:rFonts w:hint="default"/>
          <w:lang w:val="en-US" w:eastAsia="zh-CN"/>
        </w:rPr>
      </w:pPr>
      <w:r>
        <w:rPr>
          <w:rFonts w:hint="default"/>
          <w:lang w:val="en-US" w:eastAsia="zh-CN"/>
        </w:rPr>
        <w:t>This hardware-based security approach is more robust than software-only solutions, helping protect against sophisticated attacks and unauthorized access</w:t>
      </w:r>
    </w:p>
    <w:p w14:paraId="2512AD07">
      <w:pPr>
        <w:pStyle w:val="3"/>
        <w:bidi w:val="0"/>
        <w:rPr>
          <w:rFonts w:hint="default"/>
          <w:lang w:val="en-US" w:eastAsia="zh-CN"/>
        </w:rPr>
      </w:pPr>
      <w:bookmarkStart w:id="6" w:name="_Toc19625"/>
      <w:r>
        <w:rPr>
          <w:rFonts w:hint="default"/>
          <w:lang w:val="en-US" w:eastAsia="zh-CN"/>
        </w:rPr>
        <w:t>Use the Microsoft “PC Health Check” App</w:t>
      </w:r>
      <w:bookmarkEnd w:id="6"/>
    </w:p>
    <w:p w14:paraId="04365545">
      <w:pPr>
        <w:rPr>
          <w:rFonts w:hint="default"/>
          <w:lang w:val="en-US" w:eastAsia="zh-CN"/>
        </w:rPr>
      </w:pPr>
      <w:r>
        <w:rPr>
          <w:rFonts w:hint="default"/>
          <w:lang w:val="en-US" w:eastAsia="zh-CN"/>
        </w:rPr>
        <w:t>Download and run the “PC Health Check” app from Microsoft.</w:t>
      </w:r>
    </w:p>
    <w:p w14:paraId="4B8DE54B">
      <w:pPr>
        <w:rPr>
          <w:rFonts w:hint="default"/>
          <w:lang w:val="en-US" w:eastAsia="zh-CN"/>
        </w:rPr>
      </w:pPr>
      <w:r>
        <w:rPr>
          <w:rFonts w:hint="default"/>
          <w:lang w:val="en-US" w:eastAsia="zh-CN"/>
        </w:rPr>
        <w:t>This tool automatically scans your hardware and firmware to verify if your device meets Windows 11 minimum system requirements, including CPU, RAM, storage, TPM 2.0, Secure Boot, and more.</w:t>
      </w:r>
    </w:p>
    <w:p w14:paraId="7271E38F">
      <w:pPr>
        <w:rPr>
          <w:rFonts w:hint="default"/>
          <w:lang w:val="en-US" w:eastAsia="zh-CN"/>
        </w:rPr>
      </w:pPr>
      <w:r>
        <w:rPr>
          <w:rFonts w:hint="default"/>
          <w:lang w:val="en-US" w:eastAsia="zh-CN"/>
        </w:rPr>
        <w:t>It provides a clear message whether your PC is eligible for the upgrade or not</w:t>
      </w:r>
    </w:p>
    <w:p w14:paraId="6E14FBD6">
      <w:pPr>
        <w:pStyle w:val="4"/>
        <w:bidi w:val="0"/>
        <w:spacing w:line="240" w:lineRule="auto"/>
        <w:rPr>
          <w:rFonts w:hint="default"/>
          <w:lang w:val="en-US"/>
        </w:rPr>
      </w:pPr>
      <w:bookmarkStart w:id="7" w:name="_Toc23755"/>
      <w:r>
        <w:rPr>
          <w:rFonts w:hint="default"/>
          <w:lang w:val="en-US"/>
        </w:rPr>
        <w:t>How to run it</w:t>
      </w:r>
      <w:bookmarkEnd w:id="7"/>
    </w:p>
    <w:p w14:paraId="1F0F3D6F">
      <w:pPr>
        <w:bidi w:val="0"/>
        <w:spacing w:line="240" w:lineRule="auto"/>
      </w:pPr>
      <w:r>
        <w:t>In Windows, use Search on the taskbar to search for PC Health Check, then select it from the list of results.  </w:t>
      </w:r>
    </w:p>
    <w:p w14:paraId="6DF71206">
      <w:pPr>
        <w:bidi w:val="0"/>
        <w:spacing w:line="240" w:lineRule="auto"/>
      </w:pPr>
      <w:r>
        <w:t>If a PC Health Check update is available, you can quickly install it for the latest version.</w:t>
      </w:r>
    </w:p>
    <w:p w14:paraId="74728880">
      <w:pPr>
        <w:bidi w:val="0"/>
        <w:spacing w:line="240" w:lineRule="auto"/>
      </w:pPr>
      <w:r>
        <w:t xml:space="preserve">If you don't have PC Health Check installed, you can install it by going to </w:t>
      </w:r>
      <w:r>
        <w:fldChar w:fldCharType="begin"/>
      </w:r>
      <w:r>
        <w:instrText xml:space="preserve"> HYPERLINK "https://aka.ms/GetPCHealthCheckApp" \t "https://support.microsoft.com/en-us/windows/_blank" </w:instrText>
      </w:r>
      <w:r>
        <w:fldChar w:fldCharType="separate"/>
      </w:r>
      <w:r>
        <w:rPr>
          <w:rStyle w:val="51"/>
        </w:rPr>
        <w:t>https://aka.ms/GetPCHealthCheckApp</w:t>
      </w:r>
      <w:r>
        <w:fldChar w:fldCharType="end"/>
      </w:r>
      <w:r>
        <w:t xml:space="preserve"> and following the prompts to download and install the app.</w:t>
      </w:r>
    </w:p>
    <w:p w14:paraId="43688B92">
      <w:pPr>
        <w:rPr>
          <w:rFonts w:hint="default"/>
          <w:lang w:val="en-US" w:eastAsia="zh-CN"/>
        </w:rPr>
      </w:pPr>
      <w:r>
        <w:rPr>
          <w:rFonts w:hint="default"/>
          <w:lang w:val="en-US" w:eastAsia="zh-CN"/>
        </w:rPr>
        <w:br w:type="page"/>
      </w:r>
    </w:p>
    <w:p w14:paraId="12249E06">
      <w:pPr>
        <w:pStyle w:val="3"/>
        <w:bidi w:val="0"/>
        <w:rPr>
          <w:rFonts w:hint="default"/>
          <w:lang w:val="en-US" w:eastAsia="zh-CN"/>
        </w:rPr>
      </w:pPr>
      <w:bookmarkStart w:id="8" w:name="_Toc5111"/>
      <w:r>
        <w:rPr>
          <w:rFonts w:hint="default"/>
          <w:lang w:val="en-AU" w:eastAsia="zh-CN"/>
        </w:rPr>
        <w:t>5 M</w:t>
      </w:r>
      <w:r>
        <w:rPr>
          <w:rFonts w:hint="default"/>
          <w:lang w:val="en-US" w:eastAsia="zh-CN"/>
        </w:rPr>
        <w:t xml:space="preserve">ain </w:t>
      </w:r>
      <w:r>
        <w:rPr>
          <w:rFonts w:hint="default"/>
          <w:lang w:val="en-AU" w:eastAsia="zh-CN"/>
        </w:rPr>
        <w:t>O</w:t>
      </w:r>
      <w:r>
        <w:rPr>
          <w:rFonts w:hint="default"/>
          <w:lang w:val="en-US" w:eastAsia="zh-CN"/>
        </w:rPr>
        <w:t>ptions for Windows 10 users</w:t>
      </w:r>
      <w:bookmarkEnd w:id="8"/>
    </w:p>
    <w:p w14:paraId="4E769544">
      <w:pPr>
        <w:bidi w:val="0"/>
        <w:rPr>
          <w:rFonts w:hint="default"/>
          <w:lang w:val="en-US" w:eastAsia="zh-CN"/>
        </w:rPr>
      </w:pPr>
      <w:r>
        <w:rPr>
          <w:rFonts w:hint="default"/>
          <w:b/>
          <w:bCs/>
          <w:lang w:val="en-US" w:eastAsia="zh-CN"/>
        </w:rPr>
        <w:t xml:space="preserve">Start: </w:t>
      </w:r>
      <w:r>
        <w:rPr>
          <w:rFonts w:hint="default"/>
          <w:lang w:val="en-US" w:eastAsia="zh-CN"/>
        </w:rPr>
        <w:t>You have Windows 10 (version 22H2 or earlier)</w:t>
      </w:r>
    </w:p>
    <w:p w14:paraId="1286AA00">
      <w:pPr>
        <w:bidi w:val="0"/>
        <w:rPr>
          <w:rFonts w:hint="default"/>
          <w:b/>
          <w:bCs/>
          <w:u w:val="single"/>
          <w:lang w:val="en-US" w:eastAsia="zh-CN"/>
        </w:rPr>
      </w:pPr>
      <w:r>
        <w:rPr>
          <w:rFonts w:hint="default"/>
          <w:b/>
          <w:bCs/>
          <w:u w:val="single"/>
          <w:lang w:val="en-US" w:eastAsia="zh-CN"/>
        </w:rPr>
        <w:t>Option 1: Upgrade to Windows 11</w:t>
      </w:r>
    </w:p>
    <w:p w14:paraId="4D7EC15F">
      <w:pPr>
        <w:bidi w:val="0"/>
        <w:rPr>
          <w:rFonts w:hint="default"/>
          <w:lang w:val="en-US" w:eastAsia="zh-CN"/>
        </w:rPr>
      </w:pPr>
      <w:r>
        <w:rPr>
          <w:rFonts w:hint="default"/>
          <w:lang w:val="en-US" w:eastAsia="zh-CN"/>
        </w:rPr>
        <w:t>If your PC meets Windows 11 hardware requirements, upgrade for free.</w:t>
      </w:r>
    </w:p>
    <w:p w14:paraId="0278984F">
      <w:pPr>
        <w:bidi w:val="0"/>
        <w:rPr>
          <w:rFonts w:hint="default"/>
          <w:lang w:val="en-US" w:eastAsia="zh-CN"/>
        </w:rPr>
      </w:pPr>
      <w:r>
        <w:rPr>
          <w:rFonts w:hint="default"/>
          <w:lang w:val="en-US" w:eastAsia="zh-CN"/>
        </w:rPr>
        <w:t>Benefits: Continued free security and feature updates.</w:t>
      </w:r>
    </w:p>
    <w:p w14:paraId="491FDA50">
      <w:pPr>
        <w:bidi w:val="0"/>
        <w:rPr>
          <w:rFonts w:hint="default"/>
          <w:lang w:val="en-US" w:eastAsia="zh-CN"/>
        </w:rPr>
      </w:pPr>
      <w:r>
        <w:rPr>
          <w:rFonts w:hint="default"/>
          <w:lang w:val="en-US" w:eastAsia="zh-CN"/>
        </w:rPr>
        <w:t>If not compatible, proceed to other options.</w:t>
      </w:r>
    </w:p>
    <w:p w14:paraId="38F90CE3">
      <w:pPr>
        <w:bidi w:val="0"/>
        <w:rPr>
          <w:rFonts w:hint="default"/>
          <w:b/>
          <w:bCs/>
          <w:u w:val="single"/>
          <w:lang w:val="en-US" w:eastAsia="zh-CN"/>
        </w:rPr>
      </w:pPr>
      <w:r>
        <w:rPr>
          <w:rFonts w:hint="default"/>
          <w:b/>
          <w:bCs/>
          <w:u w:val="single"/>
          <w:lang w:val="en-US" w:eastAsia="zh-CN"/>
        </w:rPr>
        <w:t>Option 2: Purchase Extended Security Updates (ESU)</w:t>
      </w:r>
    </w:p>
    <w:p w14:paraId="7A3FBF83">
      <w:pPr>
        <w:bidi w:val="0"/>
        <w:rPr>
          <w:rFonts w:hint="default"/>
          <w:lang w:val="en-US" w:eastAsia="zh-CN"/>
        </w:rPr>
      </w:pPr>
      <w:r>
        <w:rPr>
          <w:rFonts w:hint="default"/>
          <w:lang w:val="en-US" w:eastAsia="zh-CN"/>
        </w:rPr>
        <w:t>Pay for up to 1 year (consumers) or up to 3 years (enterprises) of security updates after October 2025.</w:t>
      </w:r>
    </w:p>
    <w:p w14:paraId="23B913FF">
      <w:pPr>
        <w:bidi w:val="0"/>
        <w:rPr>
          <w:rFonts w:hint="default"/>
          <w:lang w:val="en-US" w:eastAsia="zh-CN"/>
        </w:rPr>
      </w:pPr>
      <w:r>
        <w:rPr>
          <w:rFonts w:hint="default"/>
          <w:lang w:val="en-US" w:eastAsia="zh-CN"/>
        </w:rPr>
        <w:t>Cost varies; for consumers around $30 for one year.</w:t>
      </w:r>
    </w:p>
    <w:p w14:paraId="1CA75DDE">
      <w:pPr>
        <w:bidi w:val="0"/>
        <w:rPr>
          <w:rFonts w:hint="default"/>
          <w:lang w:val="en-US" w:eastAsia="zh-CN"/>
        </w:rPr>
      </w:pPr>
      <w:r>
        <w:rPr>
          <w:rFonts w:hint="default"/>
          <w:lang w:val="en-US" w:eastAsia="zh-CN"/>
        </w:rPr>
        <w:t>Keeps system more secure but no new features.</w:t>
      </w:r>
    </w:p>
    <w:p w14:paraId="22EACE45">
      <w:pPr>
        <w:bidi w:val="0"/>
        <w:rPr>
          <w:rFonts w:hint="default"/>
          <w:b/>
          <w:bCs/>
          <w:u w:val="single"/>
          <w:lang w:val="en-US" w:eastAsia="zh-CN"/>
        </w:rPr>
      </w:pPr>
      <w:r>
        <w:rPr>
          <w:rFonts w:hint="default"/>
          <w:b/>
          <w:bCs/>
          <w:u w:val="single"/>
          <w:lang w:val="en-US" w:eastAsia="zh-CN"/>
        </w:rPr>
        <w:t>Option 3: Use 0patch Micropatching</w:t>
      </w:r>
    </w:p>
    <w:p w14:paraId="074698C2">
      <w:pPr>
        <w:bidi w:val="0"/>
        <w:rPr>
          <w:rFonts w:hint="default"/>
          <w:lang w:val="en-US" w:eastAsia="zh-CN"/>
        </w:rPr>
      </w:pPr>
      <w:r>
        <w:rPr>
          <w:rFonts w:hint="default"/>
          <w:lang w:val="en-US" w:eastAsia="zh-CN"/>
        </w:rPr>
        <w:t>0patch offers small, in-memory security patches for Windows 10 v22H2 vulnerabilities.</w:t>
      </w:r>
    </w:p>
    <w:p w14:paraId="39565F59">
      <w:pPr>
        <w:bidi w:val="0"/>
        <w:rPr>
          <w:rFonts w:hint="default"/>
          <w:lang w:val="en-US" w:eastAsia="zh-CN"/>
        </w:rPr>
      </w:pPr>
      <w:r>
        <w:rPr>
          <w:rFonts w:hint="default"/>
          <w:lang w:val="en-US" w:eastAsia="zh-CN"/>
        </w:rPr>
        <w:t>Provides critical security fixes without reboots or full updates.</w:t>
      </w:r>
    </w:p>
    <w:p w14:paraId="1CA5388A">
      <w:pPr>
        <w:bidi w:val="0"/>
        <w:rPr>
          <w:rFonts w:hint="default"/>
          <w:lang w:val="en-US" w:eastAsia="zh-CN"/>
        </w:rPr>
      </w:pPr>
      <w:r>
        <w:rPr>
          <w:rFonts w:hint="default"/>
          <w:lang w:val="en-US" w:eastAsia="zh-CN"/>
        </w:rPr>
        <w:t>Supported for at least 5 years after official end of support.</w:t>
      </w:r>
    </w:p>
    <w:p w14:paraId="481B140E">
      <w:pPr>
        <w:bidi w:val="0"/>
        <w:rPr>
          <w:rFonts w:hint="default"/>
          <w:lang w:val="en-US" w:eastAsia="zh-CN"/>
        </w:rPr>
      </w:pPr>
      <w:r>
        <w:rPr>
          <w:rFonts w:hint="default"/>
          <w:lang w:val="en-US" w:eastAsia="zh-CN"/>
        </w:rPr>
        <w:t>Good for extending security on unsupported Windows 10.</w:t>
      </w:r>
    </w:p>
    <w:p w14:paraId="241C21EA">
      <w:pPr>
        <w:bidi w:val="0"/>
        <w:rPr>
          <w:rFonts w:hint="default"/>
          <w:b/>
          <w:bCs/>
          <w:u w:val="single"/>
          <w:lang w:val="en-US" w:eastAsia="zh-CN"/>
        </w:rPr>
      </w:pPr>
      <w:r>
        <w:rPr>
          <w:rFonts w:hint="default"/>
          <w:b/>
          <w:bCs/>
          <w:u w:val="single"/>
          <w:lang w:val="en-US" w:eastAsia="zh-CN"/>
        </w:rPr>
        <w:t>Option 4: Switch to Alternative Operating System</w:t>
      </w:r>
    </w:p>
    <w:p w14:paraId="44299172">
      <w:pPr>
        <w:bidi w:val="0"/>
        <w:rPr>
          <w:rFonts w:hint="default"/>
          <w:lang w:val="en-US" w:eastAsia="zh-CN"/>
        </w:rPr>
      </w:pPr>
      <w:r>
        <w:rPr>
          <w:rFonts w:hint="default"/>
          <w:lang w:val="en-US" w:eastAsia="zh-CN"/>
        </w:rPr>
        <w:t>Consider Linux distributions (Ubuntu, Fedora, Mint, etc.) or ChromeOS Flex.</w:t>
      </w:r>
    </w:p>
    <w:p w14:paraId="5923CF9B">
      <w:pPr>
        <w:bidi w:val="0"/>
        <w:rPr>
          <w:rFonts w:hint="default"/>
          <w:lang w:val="en-US" w:eastAsia="zh-CN"/>
        </w:rPr>
      </w:pPr>
      <w:r>
        <w:rPr>
          <w:rFonts w:hint="default"/>
          <w:lang w:val="en-US" w:eastAsia="zh-CN"/>
        </w:rPr>
        <w:t>These are free, secure alternatives that can run on older hardware.</w:t>
      </w:r>
    </w:p>
    <w:p w14:paraId="58E2B5FC">
      <w:pPr>
        <w:bidi w:val="0"/>
        <w:rPr>
          <w:rFonts w:hint="default"/>
          <w:b w:val="0"/>
          <w:bCs w:val="0"/>
          <w:lang w:val="en-US" w:eastAsia="zh-CN"/>
        </w:rPr>
      </w:pPr>
      <w:r>
        <w:rPr>
          <w:rFonts w:hint="default"/>
          <w:lang w:val="en-US" w:eastAsia="zh-CN"/>
        </w:rPr>
        <w:t>Requires learning a new OS environment</w:t>
      </w:r>
      <w:r>
        <w:rPr>
          <w:rFonts w:hint="default"/>
          <w:b w:val="0"/>
          <w:bCs w:val="0"/>
          <w:lang w:val="en-US" w:eastAsia="zh-CN"/>
        </w:rPr>
        <w:t>.</w:t>
      </w:r>
    </w:p>
    <w:p w14:paraId="62D2C6E5">
      <w:pPr>
        <w:bidi w:val="0"/>
        <w:rPr>
          <w:rFonts w:hint="default"/>
          <w:b/>
          <w:bCs/>
          <w:u w:val="single"/>
          <w:lang w:val="en-US" w:eastAsia="zh-CN"/>
        </w:rPr>
      </w:pPr>
      <w:r>
        <w:rPr>
          <w:rFonts w:hint="default"/>
          <w:b/>
          <w:bCs/>
          <w:u w:val="single"/>
          <w:lang w:val="en-US" w:eastAsia="zh-CN"/>
        </w:rPr>
        <w:t>Option 5: Continue Using Windows 10 Without Updates</w:t>
      </w:r>
    </w:p>
    <w:p w14:paraId="3A9A1FEC">
      <w:pPr>
        <w:bidi w:val="0"/>
        <w:rPr>
          <w:rFonts w:hint="default"/>
          <w:lang w:val="en-US" w:eastAsia="zh-CN"/>
        </w:rPr>
      </w:pPr>
      <w:r>
        <w:rPr>
          <w:rFonts w:hint="default"/>
          <w:lang w:val="en-US" w:eastAsia="zh-CN"/>
        </w:rPr>
        <w:t>Windows 10 will keep working but no security or feature updates will be provided.</w:t>
      </w:r>
    </w:p>
    <w:p w14:paraId="3AB5092B">
      <w:pPr>
        <w:bidi w:val="0"/>
        <w:rPr>
          <w:rFonts w:hint="default"/>
          <w:lang w:val="en-US" w:eastAsia="zh-CN"/>
        </w:rPr>
      </w:pPr>
      <w:r>
        <w:rPr>
          <w:rFonts w:hint="default"/>
          <w:lang w:val="en-US" w:eastAsia="zh-CN"/>
        </w:rPr>
        <w:t>Increased risk of vulnerabilities and malware.</w:t>
      </w:r>
    </w:p>
    <w:p w14:paraId="7F979D64">
      <w:pPr>
        <w:bidi w:val="0"/>
        <w:rPr>
          <w:rFonts w:hint="default"/>
          <w:lang w:val="en-US" w:eastAsia="zh-CN"/>
        </w:rPr>
      </w:pPr>
      <w:r>
        <w:rPr>
          <w:rFonts w:hint="default"/>
          <w:lang w:val="en-US" w:eastAsia="zh-CN"/>
        </w:rPr>
        <w:t>Use with caution and enhanced security practices.</w:t>
      </w:r>
    </w:p>
    <w:p w14:paraId="29FC24DE">
      <w:pPr>
        <w:bidi w:val="0"/>
        <w:rPr>
          <w:rFonts w:hint="default"/>
          <w:b w:val="0"/>
          <w:bCs w:val="0"/>
          <w:lang w:val="en-AU" w:eastAsia="zh-CN"/>
        </w:rPr>
      </w:pPr>
      <w:r>
        <w:rPr>
          <w:rFonts w:hint="default"/>
          <w:b/>
          <w:bCs/>
          <w:lang w:val="en-AU" w:eastAsia="zh-CN"/>
        </w:rPr>
        <w:t>NB:</w:t>
      </w:r>
      <w:r>
        <w:rPr>
          <w:rFonts w:hint="default"/>
          <w:b w:val="0"/>
          <w:bCs w:val="0"/>
          <w:lang w:val="en-AU" w:eastAsia="zh-CN"/>
        </w:rPr>
        <w:t xml:space="preserve"> ChromeOS Flex is a cloud-based, lightweight operating system developed by Google that can be installed on virtually any PC or Mac, including older or outdated devices. It is based on the same core technology as ChromeOS used on Chromebooks but designed to run on non-Chromebook hardware, enabling users to repurpose and extend the life of their existing computers</w:t>
      </w:r>
    </w:p>
    <w:p w14:paraId="643179CF">
      <w:pPr>
        <w:pStyle w:val="3"/>
        <w:bidi w:val="0"/>
      </w:pPr>
      <w:bookmarkStart w:id="9" w:name="_Toc21355"/>
      <w:r>
        <w:t>In summary:</w:t>
      </w:r>
      <w:bookmarkEnd w:id="9"/>
    </w:p>
    <w:p w14:paraId="1CD1540F">
      <w:pPr>
        <w:numPr>
          <w:ilvl w:val="0"/>
          <w:numId w:val="11"/>
        </w:numPr>
        <w:bidi w:val="0"/>
        <w:spacing w:line="240" w:lineRule="auto"/>
        <w:ind w:left="420" w:leftChars="0" w:hanging="420" w:firstLineChars="0"/>
      </w:pPr>
      <w:r>
        <w:t>Windows 10 end of free support: October 14, 2025</w:t>
      </w:r>
    </w:p>
    <w:p w14:paraId="3D990C20">
      <w:pPr>
        <w:numPr>
          <w:ilvl w:val="0"/>
          <w:numId w:val="11"/>
        </w:numPr>
        <w:bidi w:val="0"/>
        <w:spacing w:line="240" w:lineRule="auto"/>
        <w:ind w:left="420" w:leftChars="0" w:hanging="420" w:firstLineChars="0"/>
      </w:pPr>
      <w:r>
        <w:t>No more security, feature, or technical updates after this date</w:t>
      </w:r>
    </w:p>
    <w:p w14:paraId="68376DB0">
      <w:pPr>
        <w:numPr>
          <w:ilvl w:val="0"/>
          <w:numId w:val="11"/>
        </w:numPr>
        <w:bidi w:val="0"/>
        <w:spacing w:line="240" w:lineRule="auto"/>
        <w:ind w:left="420" w:leftChars="0" w:hanging="420" w:firstLineChars="0"/>
      </w:pPr>
      <w:r>
        <w:t>Extended Security Updates available for purchase (paid)</w:t>
      </w:r>
    </w:p>
    <w:p w14:paraId="16ABDF99">
      <w:pPr>
        <w:numPr>
          <w:ilvl w:val="0"/>
          <w:numId w:val="11"/>
        </w:numPr>
        <w:bidi w:val="0"/>
        <w:spacing w:line="240" w:lineRule="auto"/>
        <w:ind w:left="420" w:leftChars="0" w:hanging="420" w:firstLineChars="0"/>
      </w:pPr>
      <w:r>
        <w:t>Windows 10 LTSC editions have longer support periods</w:t>
      </w:r>
    </w:p>
    <w:p w14:paraId="7A7D395D">
      <w:pPr>
        <w:numPr>
          <w:ilvl w:val="0"/>
          <w:numId w:val="11"/>
        </w:numPr>
        <w:bidi w:val="0"/>
        <w:spacing w:line="240" w:lineRule="auto"/>
        <w:ind w:left="420" w:leftChars="0" w:hanging="420" w:firstLineChars="0"/>
      </w:pPr>
      <w:r>
        <w:t>Users should plan to upgrade to Windows 11 or consider alternatives before support ends</w:t>
      </w:r>
      <w:r>
        <w:fldChar w:fldCharType="begin"/>
      </w:r>
      <w:r>
        <w:instrText xml:space="preserve"> HYPERLINK "https://www.techzine.eu/blogs/applications/131786/these-are-the-eol-dates-for-windows-10-and-windows-11/" \t "https://www.perplexity.ai/search/_blank" </w:instrText>
      </w:r>
      <w:r>
        <w:fldChar w:fldCharType="separate"/>
      </w:r>
      <w:r>
        <w:fldChar w:fldCharType="end"/>
      </w:r>
      <w:r>
        <w:rPr>
          <w:lang w:val="en-US" w:eastAsia="zh-CN"/>
        </w:rPr>
        <w:fldChar w:fldCharType="begin"/>
      </w:r>
      <w:r>
        <w:rPr>
          <w:lang w:val="en-US" w:eastAsia="zh-CN"/>
        </w:rPr>
        <w:instrText xml:space="preserve"> HYPERLINK "https://www.microsoft.com/en-gb/windows/end-of-support" \t "https://www.perplexity.ai/search/_blank" </w:instrText>
      </w:r>
      <w:r>
        <w:rPr>
          <w:lang w:val="en-US" w:eastAsia="zh-CN"/>
        </w:rPr>
        <w:fldChar w:fldCharType="separate"/>
      </w:r>
      <w:r>
        <w:rPr>
          <w:lang w:val="en-US" w:eastAsia="zh-CN"/>
        </w:rPr>
        <w:fldChar w:fldCharType="end"/>
      </w:r>
      <w:r>
        <w:rPr>
          <w:lang w:val="en-US" w:eastAsia="zh-CN"/>
        </w:rPr>
        <w:fldChar w:fldCharType="begin"/>
      </w:r>
      <w:r>
        <w:rPr>
          <w:lang w:val="en-US" w:eastAsia="zh-CN"/>
        </w:rPr>
        <w:instrText xml:space="preserve"> HYPERLINK "https://support.microsoft.com/en-au/windows/windows-10-support-ends-on-october-14-2025-2ca8b313-1946-43d3-b55c-2b95b107f281" \t "https://www.perplexity.ai/search/_blank" </w:instrText>
      </w:r>
      <w:r>
        <w:rPr>
          <w:lang w:val="en-US" w:eastAsia="zh-CN"/>
        </w:rPr>
        <w:fldChar w:fldCharType="separate"/>
      </w:r>
      <w:r>
        <w:rPr>
          <w:lang w:val="en-US" w:eastAsia="zh-CN"/>
        </w:rPr>
        <w:fldChar w:fldCharType="end"/>
      </w:r>
      <w:r>
        <w:rPr>
          <w:lang w:val="en-US" w:eastAsia="zh-CN"/>
        </w:rPr>
        <w:fldChar w:fldCharType="begin"/>
      </w:r>
      <w:r>
        <w:rPr>
          <w:lang w:val="en-US" w:eastAsia="zh-CN"/>
        </w:rPr>
        <w:instrText xml:space="preserve"> HYPERLINK "https://www.reddit.com/r/Windows10/comments/1bdruvg/windows_10_end_of_support/" \t "https://www.perplexity.ai/search/_blank" </w:instrText>
      </w:r>
      <w:r>
        <w:rPr>
          <w:lang w:val="en-US" w:eastAsia="zh-CN"/>
        </w:rPr>
        <w:fldChar w:fldCharType="separate"/>
      </w:r>
      <w:r>
        <w:rPr>
          <w:lang w:val="en-US" w:eastAsia="zh-CN"/>
        </w:rPr>
        <w:fldChar w:fldCharType="end"/>
      </w:r>
    </w:p>
    <w:p w14:paraId="05F1698D">
      <w:pPr>
        <w:numPr>
          <w:ilvl w:val="0"/>
          <w:numId w:val="11"/>
        </w:numPr>
        <w:bidi w:val="0"/>
        <w:spacing w:line="240" w:lineRule="auto"/>
        <w:ind w:left="420" w:leftChars="0" w:hanging="420" w:firstLineChars="0"/>
        <w:rPr>
          <w:rFonts w:hint="default"/>
          <w:lang w:val="en-AU" w:eastAsia="zh-CN"/>
        </w:rPr>
      </w:pPr>
      <w:r>
        <w:t>This end-of-life milestone marks the transition towards Windows 11 and newer technologies, urging users and organizations to prepare accordingly to maintain security and functionality.</w:t>
      </w:r>
    </w:p>
    <w:sectPr>
      <w:headerReference r:id="rId5" w:type="default"/>
      <w:pgSz w:w="11906" w:h="16838"/>
      <w:pgMar w:top="720" w:right="720" w:bottom="438" w:left="720" w:header="720" w:footer="44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Open Sans">
    <w:altName w:val="Times New Roman"/>
    <w:panose1 w:val="00000000000000000000"/>
    <w:charset w:val="00"/>
    <w:family w:val="auto"/>
    <w:pitch w:val="default"/>
    <w:sig w:usb0="00000000" w:usb1="00000000" w:usb2="00000000" w:usb3="00000000" w:csb0="00000000" w:csb1="00000000"/>
  </w:font>
  <w:font w:name="SimHei">
    <w:altName w:val="SimSun"/>
    <w:panose1 w:val="02010600030101010101"/>
    <w:charset w:val="86"/>
    <w:family w:val="auto"/>
    <w:pitch w:val="default"/>
    <w:sig w:usb0="00000000" w:usb1="00000000" w:usb2="00000010" w:usb3="00000000" w:csb0="00040000" w:csb1="00000000"/>
  </w:font>
  <w:font w:name="Carlito">
    <w:panose1 w:val="020F0502020204030204"/>
    <w:charset w:val="00"/>
    <w:family w:val="swiss"/>
    <w:pitch w:val="default"/>
    <w:sig w:usb0="E10002FF" w:usb1="5000ECFF" w:usb2="00000009" w:usb3="00000000" w:csb0="2000019F" w:csb1="00000000"/>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3F0AF">
    <w:pPr>
      <w:pStyle w:val="40"/>
      <w:numPr>
        <w:ilvl w:val="0"/>
        <w:numId w:val="0"/>
      </w:numPr>
      <w:ind w:left="360" w:leftChars="0"/>
    </w:pPr>
    <w:r>
      <w:rPr>
        <w:rFonts w:ascii="Times New Roman" w:hAnsi="Times New Roman" w:eastAsia="SimSun" w:cs="Times New Roman"/>
      </w:rPr>
      <mc:AlternateContent>
        <mc:Choice Requires="wps">
          <w:drawing>
            <wp:anchor distT="0" distB="0" distL="114300" distR="114300" simplePos="0" relativeHeight="251660288" behindDoc="0" locked="0" layoutInCell="1" allowOverlap="1">
              <wp:simplePos x="0" y="0"/>
              <wp:positionH relativeFrom="margin">
                <wp:posOffset>5525135</wp:posOffset>
              </wp:positionH>
              <wp:positionV relativeFrom="paragraph">
                <wp:posOffset>24765</wp:posOffset>
              </wp:positionV>
              <wp:extent cx="1828800" cy="1828800"/>
              <wp:effectExtent l="0" t="0" r="0" b="0"/>
              <wp:wrapNone/>
              <wp:docPr id="29" name="Text Box 29"/>
              <wp:cNvGraphicFramePr/>
              <a:graphic xmlns:a="http://schemas.openxmlformats.org/drawingml/2006/main">
                <a:graphicData uri="http://schemas.microsoft.com/office/word/2010/wordprocessingShape">
                  <wps:wsp>
                    <wps:cNvSpPr txBox="1"/>
                    <wps:spPr>
                      <a:xfrm>
                        <a:off x="3463925" y="10125075"/>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8E72754">
                          <w:pPr>
                            <w:numPr>
                              <w:ilvl w:val="0"/>
                              <w:numId w:val="0"/>
                            </w:numPr>
                            <w:snapToGrid w:val="0"/>
                            <w:ind w:left="360" w:leftChars="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2</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8</w:t>
                          </w:r>
                          <w:r>
                            <w:rPr>
                              <w:rFonts w:ascii="Calibri" w:hAnsi="Calibri" w:eastAsia="SimSun" w:cs="Calibri"/>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35.05pt;margin-top:1.95pt;height:144pt;width:144pt;mso-position-horizontal-relative:margin;mso-wrap-style:none;z-index:251660288;mso-width-relative:page;mso-height-relative:page;" filled="f" stroked="f" coordsize="21600,21600" o:gfxdata="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fJtW9cAAAAKAQAADwAAAAAAAAABACAAAAAiAAAAZHJzL2Rvd25yZXYueG1s&#10;UEsBAhQAFAAAAAgAh07iQDCzgSAyAgAAcQQAAA4AAAAAAAAAAQAgAAAAJgEAAGRycy9lMm9Eb2Mu&#10;eG1sUEsFBgAAAAAGAAYAWQEAAMoFAAAAAA==&#10;">
              <v:fill on="f" focussize="0,0"/>
              <v:stroke on="f" weight="0.5pt"/>
              <v:imagedata o:title=""/>
              <o:lock v:ext="edit" aspectratio="f"/>
              <v:textbox inset="0mm,0mm,0mm,0mm" style="mso-fit-shape-to-text:t;">
                <w:txbxContent>
                  <w:p w14:paraId="58E72754">
                    <w:pPr>
                      <w:numPr>
                        <w:ilvl w:val="0"/>
                        <w:numId w:val="0"/>
                      </w:numPr>
                      <w:snapToGrid w:val="0"/>
                      <w:ind w:left="360" w:leftChars="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2</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8</w:t>
                    </w:r>
                    <w:r>
                      <w:rPr>
                        <w:rFonts w:ascii="Calibri" w:hAnsi="Calibri" w:eastAsia="SimSun" w:cs="Calibri"/>
                        <w:szCs w:val="32"/>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50BAE8"/>
    <w:multiLevelType w:val="singleLevel"/>
    <w:tmpl w:val="C850BAE8"/>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
    <w:nsid w:val="FFFFFF7C"/>
    <w:multiLevelType w:val="singleLevel"/>
    <w:tmpl w:val="FFFFFF7C"/>
    <w:lvl w:ilvl="0" w:tentative="0">
      <w:start w:val="1"/>
      <w:numFmt w:val="decimal"/>
      <w:pStyle w:val="82"/>
      <w:lvlText w:val="%1."/>
      <w:lvlJc w:val="left"/>
      <w:pPr>
        <w:tabs>
          <w:tab w:val="left" w:pos="2040"/>
        </w:tabs>
        <w:ind w:left="2040" w:leftChars="800" w:hanging="360" w:hangingChars="200"/>
      </w:pPr>
    </w:lvl>
  </w:abstractNum>
  <w:abstractNum w:abstractNumId="2">
    <w:nsid w:val="FFFFFF7D"/>
    <w:multiLevelType w:val="singleLevel"/>
    <w:tmpl w:val="FFFFFF7D"/>
    <w:lvl w:ilvl="0" w:tentative="0">
      <w:start w:val="1"/>
      <w:numFmt w:val="decimal"/>
      <w:pStyle w:val="81"/>
      <w:lvlText w:val="%1."/>
      <w:lvlJc w:val="left"/>
      <w:pPr>
        <w:tabs>
          <w:tab w:val="left" w:pos="1620"/>
        </w:tabs>
        <w:ind w:left="1620" w:leftChars="600" w:hanging="360" w:hangingChars="200"/>
      </w:pPr>
    </w:lvl>
  </w:abstractNum>
  <w:abstractNum w:abstractNumId="3">
    <w:nsid w:val="FFFFFF7E"/>
    <w:multiLevelType w:val="singleLevel"/>
    <w:tmpl w:val="FFFFFF7E"/>
    <w:lvl w:ilvl="0" w:tentative="0">
      <w:start w:val="1"/>
      <w:numFmt w:val="decimal"/>
      <w:pStyle w:val="80"/>
      <w:lvlText w:val="%1."/>
      <w:lvlJc w:val="left"/>
      <w:pPr>
        <w:tabs>
          <w:tab w:val="left" w:pos="1200"/>
        </w:tabs>
        <w:ind w:left="1200" w:leftChars="400" w:hanging="360" w:hangingChars="200"/>
      </w:pPr>
    </w:lvl>
  </w:abstractNum>
  <w:abstractNum w:abstractNumId="4">
    <w:nsid w:val="FFFFFF7F"/>
    <w:multiLevelType w:val="singleLevel"/>
    <w:tmpl w:val="FFFFFF7F"/>
    <w:lvl w:ilvl="0" w:tentative="0">
      <w:start w:val="1"/>
      <w:numFmt w:val="decimal"/>
      <w:pStyle w:val="79"/>
      <w:lvlText w:val="%1."/>
      <w:lvlJc w:val="left"/>
      <w:pPr>
        <w:tabs>
          <w:tab w:val="left" w:pos="780"/>
        </w:tabs>
        <w:ind w:left="780" w:leftChars="200" w:hanging="360" w:hangingChars="200"/>
      </w:pPr>
    </w:lvl>
  </w:abstractNum>
  <w:abstractNum w:abstractNumId="5">
    <w:nsid w:val="FFFFFF80"/>
    <w:multiLevelType w:val="singleLevel"/>
    <w:tmpl w:val="FFFFFF80"/>
    <w:lvl w:ilvl="0" w:tentative="0">
      <w:start w:val="1"/>
      <w:numFmt w:val="bullet"/>
      <w:pStyle w:val="72"/>
      <w:lvlText w:val=""/>
      <w:lvlJc w:val="left"/>
      <w:pPr>
        <w:tabs>
          <w:tab w:val="left" w:pos="2040"/>
        </w:tabs>
        <w:ind w:left="2040" w:leftChars="800" w:hanging="360" w:hangingChars="200"/>
      </w:pPr>
      <w:rPr>
        <w:rFonts w:hint="default" w:ascii="Wingdings" w:hAnsi="Wingdings"/>
      </w:rPr>
    </w:lvl>
  </w:abstractNum>
  <w:abstractNum w:abstractNumId="6">
    <w:nsid w:val="FFFFFF81"/>
    <w:multiLevelType w:val="singleLevel"/>
    <w:tmpl w:val="FFFFFF81"/>
    <w:lvl w:ilvl="0" w:tentative="0">
      <w:start w:val="1"/>
      <w:numFmt w:val="bullet"/>
      <w:pStyle w:val="71"/>
      <w:lvlText w:val=""/>
      <w:lvlJc w:val="left"/>
      <w:pPr>
        <w:tabs>
          <w:tab w:val="left" w:pos="1620"/>
        </w:tabs>
        <w:ind w:left="1620" w:leftChars="600" w:hanging="360" w:hangingChars="200"/>
      </w:pPr>
      <w:rPr>
        <w:rFonts w:hint="default" w:ascii="Wingdings" w:hAnsi="Wingdings"/>
      </w:rPr>
    </w:lvl>
  </w:abstractNum>
  <w:abstractNum w:abstractNumId="7">
    <w:nsid w:val="FFFFFF82"/>
    <w:multiLevelType w:val="singleLevel"/>
    <w:tmpl w:val="FFFFFF82"/>
    <w:lvl w:ilvl="0" w:tentative="0">
      <w:start w:val="1"/>
      <w:numFmt w:val="bullet"/>
      <w:pStyle w:val="70"/>
      <w:lvlText w:val=""/>
      <w:lvlJc w:val="left"/>
      <w:pPr>
        <w:tabs>
          <w:tab w:val="left" w:pos="1200"/>
        </w:tabs>
        <w:ind w:left="1200" w:leftChars="400" w:hanging="360" w:hangingChars="200"/>
      </w:pPr>
      <w:rPr>
        <w:rFonts w:hint="default" w:ascii="Wingdings" w:hAnsi="Wingdings"/>
      </w:rPr>
    </w:lvl>
  </w:abstractNum>
  <w:abstractNum w:abstractNumId="8">
    <w:nsid w:val="FFFFFF83"/>
    <w:multiLevelType w:val="singleLevel"/>
    <w:tmpl w:val="FFFFFF83"/>
    <w:lvl w:ilvl="0" w:tentative="0">
      <w:start w:val="1"/>
      <w:numFmt w:val="bullet"/>
      <w:pStyle w:val="69"/>
      <w:lvlText w:val=""/>
      <w:lvlJc w:val="left"/>
      <w:pPr>
        <w:tabs>
          <w:tab w:val="left" w:pos="780"/>
        </w:tabs>
        <w:ind w:left="780" w:leftChars="200" w:hanging="360" w:hangingChars="200"/>
      </w:pPr>
      <w:rPr>
        <w:rFonts w:hint="default" w:ascii="Wingdings" w:hAnsi="Wingdings"/>
      </w:rPr>
    </w:lvl>
  </w:abstractNum>
  <w:abstractNum w:abstractNumId="9">
    <w:nsid w:val="FFFFFF88"/>
    <w:multiLevelType w:val="singleLevel"/>
    <w:tmpl w:val="FFFFFF88"/>
    <w:lvl w:ilvl="0" w:tentative="0">
      <w:start w:val="1"/>
      <w:numFmt w:val="decimal"/>
      <w:pStyle w:val="78"/>
      <w:lvlText w:val="%1."/>
      <w:lvlJc w:val="left"/>
      <w:pPr>
        <w:tabs>
          <w:tab w:val="left" w:pos="360"/>
        </w:tabs>
        <w:ind w:left="360" w:hanging="360" w:hangingChars="200"/>
      </w:pPr>
    </w:lvl>
  </w:abstractNum>
  <w:abstractNum w:abstractNumId="10">
    <w:nsid w:val="FFFFFF89"/>
    <w:multiLevelType w:val="singleLevel"/>
    <w:tmpl w:val="FFFFFF89"/>
    <w:lvl w:ilvl="0" w:tentative="0">
      <w:start w:val="1"/>
      <w:numFmt w:val="bullet"/>
      <w:pStyle w:val="68"/>
      <w:lvlText w:val=""/>
      <w:lvlJc w:val="left"/>
      <w:pPr>
        <w:tabs>
          <w:tab w:val="left" w:pos="360"/>
        </w:tabs>
        <w:ind w:left="360" w:hanging="360" w:hangingChars="200"/>
      </w:pPr>
      <w:rPr>
        <w:rFonts w:hint="default" w:ascii="Wingdings" w:hAnsi="Wingdings"/>
      </w:r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spaceForUL/>
    <w:balanceSingleByteDoubleByteWidth/>
    <w:doNotLeaveBackslashAlone/>
    <w:ulTrailSpac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szAyNjMyNDAzsjA3NzZQ0lEKTi0uzszPAykwrAUAzCFiSywAAAA="/>
  </w:docVars>
  <w:rsids>
    <w:rsidRoot w:val="06A70E23"/>
    <w:rsid w:val="00050A31"/>
    <w:rsid w:val="000716D2"/>
    <w:rsid w:val="00071AAB"/>
    <w:rsid w:val="000B2E18"/>
    <w:rsid w:val="000B6D51"/>
    <w:rsid w:val="000B76C4"/>
    <w:rsid w:val="000C5610"/>
    <w:rsid w:val="000E6552"/>
    <w:rsid w:val="000F3A4F"/>
    <w:rsid w:val="000F59AC"/>
    <w:rsid w:val="001364FE"/>
    <w:rsid w:val="001368DD"/>
    <w:rsid w:val="00147DB3"/>
    <w:rsid w:val="001518A5"/>
    <w:rsid w:val="00160A2F"/>
    <w:rsid w:val="00170095"/>
    <w:rsid w:val="00170E4F"/>
    <w:rsid w:val="001743F4"/>
    <w:rsid w:val="00187C33"/>
    <w:rsid w:val="001936B7"/>
    <w:rsid w:val="00196AB1"/>
    <w:rsid w:val="00201333"/>
    <w:rsid w:val="00210FA7"/>
    <w:rsid w:val="00216417"/>
    <w:rsid w:val="00237492"/>
    <w:rsid w:val="0026631D"/>
    <w:rsid w:val="002C2F53"/>
    <w:rsid w:val="00325E83"/>
    <w:rsid w:val="0033518C"/>
    <w:rsid w:val="003437C2"/>
    <w:rsid w:val="00377186"/>
    <w:rsid w:val="00395FEE"/>
    <w:rsid w:val="003A1C03"/>
    <w:rsid w:val="00414627"/>
    <w:rsid w:val="00425D63"/>
    <w:rsid w:val="00446699"/>
    <w:rsid w:val="004643D8"/>
    <w:rsid w:val="00497C24"/>
    <w:rsid w:val="004C7BA5"/>
    <w:rsid w:val="004E7628"/>
    <w:rsid w:val="004F48F2"/>
    <w:rsid w:val="005149B1"/>
    <w:rsid w:val="005647F2"/>
    <w:rsid w:val="005662D1"/>
    <w:rsid w:val="00573A09"/>
    <w:rsid w:val="005A4526"/>
    <w:rsid w:val="005A58B0"/>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40B6"/>
    <w:rsid w:val="008A680A"/>
    <w:rsid w:val="008B0BB0"/>
    <w:rsid w:val="008E6C4B"/>
    <w:rsid w:val="008F18C0"/>
    <w:rsid w:val="00907648"/>
    <w:rsid w:val="009211FB"/>
    <w:rsid w:val="00930FDE"/>
    <w:rsid w:val="00954419"/>
    <w:rsid w:val="00984C93"/>
    <w:rsid w:val="00987CE1"/>
    <w:rsid w:val="0099405C"/>
    <w:rsid w:val="009C600F"/>
    <w:rsid w:val="009D3723"/>
    <w:rsid w:val="009E04F2"/>
    <w:rsid w:val="00A03B7B"/>
    <w:rsid w:val="00A200C9"/>
    <w:rsid w:val="00A250D5"/>
    <w:rsid w:val="00A32B16"/>
    <w:rsid w:val="00A32F56"/>
    <w:rsid w:val="00A36028"/>
    <w:rsid w:val="00A91424"/>
    <w:rsid w:val="00AA2C77"/>
    <w:rsid w:val="00AC3FB9"/>
    <w:rsid w:val="00AC702A"/>
    <w:rsid w:val="00AD226F"/>
    <w:rsid w:val="00B13A52"/>
    <w:rsid w:val="00B24CF4"/>
    <w:rsid w:val="00B26993"/>
    <w:rsid w:val="00B4570C"/>
    <w:rsid w:val="00B46F01"/>
    <w:rsid w:val="00B5208C"/>
    <w:rsid w:val="00B74876"/>
    <w:rsid w:val="00BB58B4"/>
    <w:rsid w:val="00BB7C2B"/>
    <w:rsid w:val="00BC1664"/>
    <w:rsid w:val="00BC2546"/>
    <w:rsid w:val="00C05085"/>
    <w:rsid w:val="00C1593D"/>
    <w:rsid w:val="00C56C7E"/>
    <w:rsid w:val="00C776A4"/>
    <w:rsid w:val="00CA2C6C"/>
    <w:rsid w:val="00CC0600"/>
    <w:rsid w:val="00CC78AC"/>
    <w:rsid w:val="00CE4C25"/>
    <w:rsid w:val="00CF7953"/>
    <w:rsid w:val="00D07232"/>
    <w:rsid w:val="00D10245"/>
    <w:rsid w:val="00D21BDD"/>
    <w:rsid w:val="00D65F07"/>
    <w:rsid w:val="00D763DE"/>
    <w:rsid w:val="00D92BB7"/>
    <w:rsid w:val="00DC76D2"/>
    <w:rsid w:val="00DD30ED"/>
    <w:rsid w:val="00E64C21"/>
    <w:rsid w:val="00EC24C6"/>
    <w:rsid w:val="00EF2933"/>
    <w:rsid w:val="00F05146"/>
    <w:rsid w:val="00F1115D"/>
    <w:rsid w:val="00F3513C"/>
    <w:rsid w:val="00F465C5"/>
    <w:rsid w:val="00F5180D"/>
    <w:rsid w:val="00F51B21"/>
    <w:rsid w:val="00F51D87"/>
    <w:rsid w:val="00F8455C"/>
    <w:rsid w:val="00FD016B"/>
    <w:rsid w:val="02204B8A"/>
    <w:rsid w:val="02397447"/>
    <w:rsid w:val="02881678"/>
    <w:rsid w:val="032819B0"/>
    <w:rsid w:val="034B21C1"/>
    <w:rsid w:val="05E24858"/>
    <w:rsid w:val="06A70E23"/>
    <w:rsid w:val="09132384"/>
    <w:rsid w:val="0BA82A61"/>
    <w:rsid w:val="0E2D0652"/>
    <w:rsid w:val="1054414E"/>
    <w:rsid w:val="113233F0"/>
    <w:rsid w:val="14C12490"/>
    <w:rsid w:val="151D531A"/>
    <w:rsid w:val="16DD3193"/>
    <w:rsid w:val="19C43D84"/>
    <w:rsid w:val="1ABF021F"/>
    <w:rsid w:val="1C7D327E"/>
    <w:rsid w:val="1CCC6ED6"/>
    <w:rsid w:val="1FCB49B6"/>
    <w:rsid w:val="20A917E2"/>
    <w:rsid w:val="21C94F31"/>
    <w:rsid w:val="21E53183"/>
    <w:rsid w:val="23DB7853"/>
    <w:rsid w:val="27AC02F3"/>
    <w:rsid w:val="27B642EB"/>
    <w:rsid w:val="28196B7D"/>
    <w:rsid w:val="28F52A4A"/>
    <w:rsid w:val="29571B6F"/>
    <w:rsid w:val="2BC80567"/>
    <w:rsid w:val="2D0568E2"/>
    <w:rsid w:val="2EE91055"/>
    <w:rsid w:val="33565D17"/>
    <w:rsid w:val="338F5EF7"/>
    <w:rsid w:val="348269CB"/>
    <w:rsid w:val="350F2A10"/>
    <w:rsid w:val="38C01602"/>
    <w:rsid w:val="3AD264DA"/>
    <w:rsid w:val="3BE575CB"/>
    <w:rsid w:val="3D1463C4"/>
    <w:rsid w:val="3D4C05C8"/>
    <w:rsid w:val="3DE35519"/>
    <w:rsid w:val="3F2D60E3"/>
    <w:rsid w:val="40A94775"/>
    <w:rsid w:val="420E393C"/>
    <w:rsid w:val="423D22E0"/>
    <w:rsid w:val="42AA0B92"/>
    <w:rsid w:val="445C296A"/>
    <w:rsid w:val="449B5F87"/>
    <w:rsid w:val="49886F1F"/>
    <w:rsid w:val="49F62B6B"/>
    <w:rsid w:val="4A684AD4"/>
    <w:rsid w:val="4CCE29A9"/>
    <w:rsid w:val="4EF76693"/>
    <w:rsid w:val="537E38BC"/>
    <w:rsid w:val="578329F2"/>
    <w:rsid w:val="660E15E6"/>
    <w:rsid w:val="66640772"/>
    <w:rsid w:val="66D5303E"/>
    <w:rsid w:val="69801C11"/>
    <w:rsid w:val="6B022971"/>
    <w:rsid w:val="6B822D25"/>
    <w:rsid w:val="700468D2"/>
    <w:rsid w:val="70E97785"/>
    <w:rsid w:val="77DC750A"/>
    <w:rsid w:val="78A30DA6"/>
    <w:rsid w:val="7AB944F8"/>
    <w:rsid w:val="7C972DD9"/>
    <w:rsid w:val="7F070659"/>
    <w:rsid w:val="7FB633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keepNext w:val="0"/>
      <w:keepLines w:val="0"/>
      <w:widowControl/>
      <w:numPr>
        <w:ilvl w:val="0"/>
        <w:numId w:val="0"/>
      </w:numPr>
      <w:suppressLineNumbers w:val="0"/>
      <w:bidi w:val="0"/>
      <w:spacing w:before="0" w:beforeAutospacing="1" w:after="0" w:afterAutospacing="1" w:line="276" w:lineRule="auto"/>
      <w:ind w:left="360" w:leftChars="0" w:firstLine="0" w:firstLineChars="0"/>
    </w:pPr>
    <w:rPr>
      <w:rFonts w:ascii="Calibri" w:hAnsi="Calibri" w:eastAsia="Open Sans" w:cs="Calibri"/>
      <w:sz w:val="32"/>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4"/>
    <w:next w:val="1"/>
    <w:link w:val="249"/>
    <w:unhideWhenUsed/>
    <w:qFormat/>
    <w:uiPriority w:val="0"/>
    <w:pPr>
      <w:jc w:val="center"/>
      <w:outlineLvl w:val="1"/>
    </w:pPr>
    <w:rPr>
      <w:sz w:val="40"/>
      <w:lang w:val="en-US"/>
    </w:rPr>
  </w:style>
  <w:style w:type="paragraph" w:styleId="4">
    <w:name w:val="heading 3"/>
    <w:basedOn w:val="1"/>
    <w:next w:val="1"/>
    <w:unhideWhenUsed/>
    <w:qFormat/>
    <w:uiPriority w:val="0"/>
    <w:pPr>
      <w:keepNext/>
      <w:keepLines/>
      <w:spacing w:before="20" w:after="20" w:line="416" w:lineRule="auto"/>
      <w:outlineLvl w:val="2"/>
    </w:pPr>
    <w:rPr>
      <w:b/>
      <w:bCs/>
      <w:sz w:val="36"/>
      <w:szCs w:val="32"/>
      <w:u w:val="single"/>
    </w:rPr>
  </w:style>
  <w:style w:type="paragraph" w:styleId="5">
    <w:name w:val="heading 4"/>
    <w:basedOn w:val="1"/>
    <w:next w:val="1"/>
    <w:unhideWhenUsed/>
    <w:qFormat/>
    <w:uiPriority w:val="0"/>
    <w:pPr>
      <w:keepNext/>
      <w:keepLines/>
      <w:spacing w:before="280" w:after="290" w:line="376" w:lineRule="auto"/>
      <w:outlineLvl w:val="3"/>
    </w:pPr>
    <w:rPr>
      <w:b/>
      <w:bCs/>
      <w:sz w:val="28"/>
      <w:szCs w:val="28"/>
    </w:rPr>
  </w:style>
  <w:style w:type="paragraph" w:styleId="6">
    <w:name w:val="heading 5"/>
    <w:basedOn w:val="1"/>
    <w:next w:val="1"/>
    <w:semiHidden/>
    <w:unhideWhenUsed/>
    <w:qFormat/>
    <w:uiPriority w:val="0"/>
    <w:pPr>
      <w:keepNext/>
      <w:keepLines/>
      <w:spacing w:before="280" w:after="290" w:line="376" w:lineRule="auto"/>
      <w:outlineLvl w:val="4"/>
    </w:pPr>
    <w:rPr>
      <w:b/>
      <w:bCs/>
      <w:sz w:val="28"/>
      <w:szCs w:val="28"/>
    </w:rPr>
  </w:style>
  <w:style w:type="paragraph" w:styleId="7">
    <w:name w:val="heading 6"/>
    <w:basedOn w:val="1"/>
    <w:next w:val="1"/>
    <w:semiHidden/>
    <w:unhideWhenUsed/>
    <w:qFormat/>
    <w:uiPriority w:val="0"/>
    <w:pPr>
      <w:keepNext/>
      <w:keepLines/>
      <w:spacing w:before="240" w:after="64" w:line="320" w:lineRule="auto"/>
      <w:outlineLvl w:val="5"/>
    </w:pPr>
    <w:rPr>
      <w:b/>
      <w:bCs/>
      <w:sz w:val="24"/>
    </w:rPr>
  </w:style>
  <w:style w:type="paragraph" w:styleId="8">
    <w:name w:val="heading 7"/>
    <w:basedOn w:val="1"/>
    <w:next w:val="1"/>
    <w:semiHidden/>
    <w:unhideWhenUsed/>
    <w:qFormat/>
    <w:uiPriority w:val="0"/>
    <w:pPr>
      <w:keepNext/>
      <w:keepLines/>
      <w:spacing w:before="240" w:after="64" w:line="320" w:lineRule="auto"/>
      <w:outlineLvl w:val="6"/>
    </w:pPr>
    <w:rPr>
      <w:b/>
      <w:bCs/>
      <w:sz w:val="24"/>
    </w:rPr>
  </w:style>
  <w:style w:type="paragraph" w:styleId="9">
    <w:name w:val="heading 8"/>
    <w:basedOn w:val="1"/>
    <w:next w:val="1"/>
    <w:semiHidden/>
    <w:unhideWhenUsed/>
    <w:qFormat/>
    <w:uiPriority w:val="0"/>
    <w:pPr>
      <w:keepNext/>
      <w:keepLines/>
      <w:spacing w:before="240" w:after="64" w:line="320" w:lineRule="auto"/>
      <w:outlineLvl w:val="7"/>
    </w:pPr>
    <w:rPr>
      <w:sz w:val="24"/>
    </w:rPr>
  </w:style>
  <w:style w:type="paragraph" w:styleId="10">
    <w:name w:val="heading 9"/>
    <w:basedOn w:val="1"/>
    <w:next w:val="1"/>
    <w:semiHidden/>
    <w:unhideWhenUsed/>
    <w:qFormat/>
    <w:uiPriority w:val="0"/>
    <w:pPr>
      <w:keepNext/>
      <w:keepLines/>
      <w:spacing w:before="240" w:after="64" w:line="320" w:lineRule="auto"/>
      <w:outlineLvl w:val="8"/>
    </w:pPr>
    <w:rPr>
      <w:szCs w:val="21"/>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Balloon Text"/>
    <w:basedOn w:val="1"/>
    <w:qFormat/>
    <w:uiPriority w:val="0"/>
    <w:rPr>
      <w:sz w:val="16"/>
      <w:szCs w:val="16"/>
    </w:rPr>
  </w:style>
  <w:style w:type="paragraph" w:styleId="14">
    <w:name w:val="Block Text"/>
    <w:basedOn w:val="1"/>
    <w:qFormat/>
    <w:uiPriority w:val="0"/>
    <w:pPr>
      <w:spacing w:after="120"/>
      <w:ind w:left="1440" w:leftChars="700" w:right="1440" w:rightChars="700"/>
    </w:pPr>
  </w:style>
  <w:style w:type="paragraph" w:styleId="15">
    <w:name w:val="Body Text"/>
    <w:basedOn w:val="1"/>
    <w:qFormat/>
    <w:uiPriority w:val="0"/>
    <w:pPr>
      <w:spacing w:after="120"/>
    </w:pPr>
  </w:style>
  <w:style w:type="paragraph" w:styleId="16">
    <w:name w:val="Body Text 2"/>
    <w:basedOn w:val="1"/>
    <w:qFormat/>
    <w:uiPriority w:val="0"/>
    <w:pPr>
      <w:spacing w:after="120" w:line="480" w:lineRule="auto"/>
    </w:pPr>
  </w:style>
  <w:style w:type="paragraph" w:styleId="17">
    <w:name w:val="Body Text 3"/>
    <w:basedOn w:val="1"/>
    <w:qFormat/>
    <w:uiPriority w:val="0"/>
    <w:pPr>
      <w:spacing w:after="120"/>
    </w:pPr>
    <w:rPr>
      <w:sz w:val="16"/>
      <w:szCs w:val="16"/>
    </w:rPr>
  </w:style>
  <w:style w:type="paragraph" w:styleId="18">
    <w:name w:val="Body Text First Indent"/>
    <w:basedOn w:val="15"/>
    <w:qFormat/>
    <w:uiPriority w:val="0"/>
    <w:pPr>
      <w:ind w:firstLine="420" w:firstLineChars="100"/>
    </w:pPr>
  </w:style>
  <w:style w:type="paragraph" w:styleId="19">
    <w:name w:val="Body Text Indent"/>
    <w:basedOn w:val="1"/>
    <w:qFormat/>
    <w:uiPriority w:val="0"/>
    <w:pPr>
      <w:spacing w:after="120"/>
      <w:ind w:left="420" w:leftChars="200"/>
    </w:pPr>
  </w:style>
  <w:style w:type="paragraph" w:styleId="20">
    <w:name w:val="Body Text First Indent 2"/>
    <w:basedOn w:val="19"/>
    <w:qFormat/>
    <w:uiPriority w:val="0"/>
    <w:pPr>
      <w:ind w:firstLine="420" w:firstLineChars="200"/>
    </w:pPr>
  </w:style>
  <w:style w:type="paragraph" w:styleId="21">
    <w:name w:val="Body Text Indent 2"/>
    <w:basedOn w:val="1"/>
    <w:qFormat/>
    <w:uiPriority w:val="0"/>
    <w:pPr>
      <w:spacing w:after="120" w:line="480" w:lineRule="auto"/>
      <w:ind w:left="420" w:leftChars="200"/>
    </w:pPr>
  </w:style>
  <w:style w:type="paragraph" w:styleId="22">
    <w:name w:val="Body Text Indent 3"/>
    <w:basedOn w:val="1"/>
    <w:qFormat/>
    <w:uiPriority w:val="0"/>
    <w:pPr>
      <w:spacing w:after="120"/>
      <w:ind w:left="420" w:leftChars="200"/>
    </w:pPr>
    <w:rPr>
      <w:sz w:val="16"/>
      <w:szCs w:val="16"/>
    </w:rPr>
  </w:style>
  <w:style w:type="paragraph" w:styleId="23">
    <w:name w:val="caption"/>
    <w:basedOn w:val="1"/>
    <w:next w:val="1"/>
    <w:semiHidden/>
    <w:unhideWhenUsed/>
    <w:qFormat/>
    <w:uiPriority w:val="0"/>
    <w:rPr>
      <w:rFonts w:ascii="Arial" w:hAnsi="Arial" w:eastAsia="SimHei" w:cs="Arial"/>
      <w:sz w:val="20"/>
    </w:rPr>
  </w:style>
  <w:style w:type="paragraph" w:styleId="24">
    <w:name w:val="Closing"/>
    <w:basedOn w:val="1"/>
    <w:qFormat/>
    <w:uiPriority w:val="0"/>
    <w:pPr>
      <w:ind w:left="100" w:leftChars="2100"/>
    </w:pPr>
  </w:style>
  <w:style w:type="character" w:styleId="25">
    <w:name w:val="annotation reference"/>
    <w:basedOn w:val="11"/>
    <w:qFormat/>
    <w:uiPriority w:val="0"/>
    <w:rPr>
      <w:sz w:val="21"/>
      <w:szCs w:val="21"/>
    </w:rPr>
  </w:style>
  <w:style w:type="paragraph" w:styleId="26">
    <w:name w:val="annotation text"/>
    <w:basedOn w:val="1"/>
    <w:qFormat/>
    <w:uiPriority w:val="0"/>
  </w:style>
  <w:style w:type="paragraph" w:styleId="27">
    <w:name w:val="annotation subject"/>
    <w:basedOn w:val="26"/>
    <w:next w:val="26"/>
    <w:qFormat/>
    <w:uiPriority w:val="0"/>
    <w:rPr>
      <w:b/>
      <w:bCs/>
    </w:rPr>
  </w:style>
  <w:style w:type="paragraph" w:styleId="28">
    <w:name w:val="Date"/>
    <w:basedOn w:val="1"/>
    <w:next w:val="1"/>
    <w:qFormat/>
    <w:uiPriority w:val="0"/>
    <w:pPr>
      <w:ind w:left="100" w:leftChars="2500"/>
    </w:pPr>
  </w:style>
  <w:style w:type="paragraph" w:styleId="29">
    <w:name w:val="Document Map"/>
    <w:basedOn w:val="1"/>
    <w:qFormat/>
    <w:uiPriority w:val="0"/>
    <w:pPr>
      <w:shd w:val="clear" w:color="auto" w:fill="000080"/>
    </w:pPr>
  </w:style>
  <w:style w:type="paragraph" w:styleId="30">
    <w:name w:val="E-mail Signature"/>
    <w:basedOn w:val="1"/>
    <w:qFormat/>
    <w:uiPriority w:val="0"/>
  </w:style>
  <w:style w:type="character" w:styleId="31">
    <w:name w:val="Emphasis"/>
    <w:basedOn w:val="11"/>
    <w:qFormat/>
    <w:uiPriority w:val="0"/>
    <w:rPr>
      <w:i/>
      <w:iCs/>
    </w:rPr>
  </w:style>
  <w:style w:type="character" w:styleId="32">
    <w:name w:val="endnote reference"/>
    <w:basedOn w:val="11"/>
    <w:qFormat/>
    <w:uiPriority w:val="0"/>
    <w:rPr>
      <w:vertAlign w:val="superscript"/>
    </w:rPr>
  </w:style>
  <w:style w:type="paragraph" w:styleId="33">
    <w:name w:val="endnote text"/>
    <w:basedOn w:val="1"/>
    <w:qFormat/>
    <w:uiPriority w:val="0"/>
    <w:pPr>
      <w:snapToGrid w:val="0"/>
    </w:pPr>
  </w:style>
  <w:style w:type="paragraph" w:styleId="34">
    <w:name w:val="envelope address"/>
    <w:basedOn w:val="1"/>
    <w:qFormat/>
    <w:uiPriority w:val="0"/>
    <w:pPr>
      <w:framePr w:w="7920" w:h="1980" w:hRule="exact" w:hSpace="180" w:wrap="auto" w:vAnchor="margin" w:hAnchor="page" w:xAlign="center" w:yAlign="bottom"/>
      <w:snapToGrid w:val="0"/>
      <w:ind w:left="100" w:leftChars="1400"/>
    </w:pPr>
    <w:rPr>
      <w:rFonts w:ascii="Arial" w:hAnsi="Arial" w:cs="Arial"/>
      <w:sz w:val="24"/>
    </w:rPr>
  </w:style>
  <w:style w:type="paragraph" w:styleId="35">
    <w:name w:val="envelope return"/>
    <w:basedOn w:val="1"/>
    <w:qFormat/>
    <w:uiPriority w:val="0"/>
    <w:pPr>
      <w:snapToGrid w:val="0"/>
    </w:pPr>
    <w:rPr>
      <w:rFonts w:ascii="Arial" w:hAnsi="Arial" w:cs="Arial"/>
    </w:rPr>
  </w:style>
  <w:style w:type="character" w:styleId="36">
    <w:name w:val="FollowedHyperlink"/>
    <w:basedOn w:val="11"/>
    <w:qFormat/>
    <w:uiPriority w:val="0"/>
    <w:rPr>
      <w:color w:val="800080"/>
      <w:u w:val="single"/>
    </w:rPr>
  </w:style>
  <w:style w:type="paragraph" w:styleId="37">
    <w:name w:val="footer"/>
    <w:basedOn w:val="1"/>
    <w:qFormat/>
    <w:uiPriority w:val="0"/>
    <w:pPr>
      <w:tabs>
        <w:tab w:val="center" w:pos="4153"/>
        <w:tab w:val="right" w:pos="8306"/>
      </w:tabs>
      <w:snapToGrid w:val="0"/>
    </w:pPr>
    <w:rPr>
      <w:sz w:val="18"/>
      <w:szCs w:val="18"/>
    </w:rPr>
  </w:style>
  <w:style w:type="character" w:styleId="38">
    <w:name w:val="footnote reference"/>
    <w:basedOn w:val="11"/>
    <w:qFormat/>
    <w:uiPriority w:val="0"/>
    <w:rPr>
      <w:vertAlign w:val="superscript"/>
    </w:rPr>
  </w:style>
  <w:style w:type="paragraph" w:styleId="39">
    <w:name w:val="footnote text"/>
    <w:basedOn w:val="1"/>
    <w:qFormat/>
    <w:uiPriority w:val="0"/>
    <w:pPr>
      <w:snapToGrid w:val="0"/>
    </w:pPr>
    <w:rPr>
      <w:sz w:val="18"/>
      <w:szCs w:val="18"/>
    </w:rPr>
  </w:style>
  <w:style w:type="paragraph" w:styleId="40">
    <w:name w:val="header"/>
    <w:basedOn w:val="1"/>
    <w:qFormat/>
    <w:uiPriority w:val="0"/>
    <w:pPr>
      <w:tabs>
        <w:tab w:val="center" w:pos="4153"/>
        <w:tab w:val="right" w:pos="8306"/>
      </w:tabs>
      <w:snapToGrid w:val="0"/>
    </w:pPr>
    <w:rPr>
      <w:sz w:val="18"/>
      <w:szCs w:val="18"/>
    </w:rPr>
  </w:style>
  <w:style w:type="character" w:styleId="41">
    <w:name w:val="HTML Acronym"/>
    <w:basedOn w:val="11"/>
    <w:qFormat/>
    <w:uiPriority w:val="0"/>
  </w:style>
  <w:style w:type="paragraph" w:styleId="42">
    <w:name w:val="HTML Address"/>
    <w:basedOn w:val="1"/>
    <w:qFormat/>
    <w:uiPriority w:val="0"/>
    <w:rPr>
      <w:i/>
      <w:iCs/>
    </w:rPr>
  </w:style>
  <w:style w:type="character" w:styleId="43">
    <w:name w:val="HTML Cite"/>
    <w:basedOn w:val="11"/>
    <w:qFormat/>
    <w:uiPriority w:val="0"/>
    <w:rPr>
      <w:i/>
      <w:iCs/>
    </w:rPr>
  </w:style>
  <w:style w:type="character" w:styleId="44">
    <w:name w:val="HTML Code"/>
    <w:basedOn w:val="11"/>
    <w:qFormat/>
    <w:uiPriority w:val="0"/>
    <w:rPr>
      <w:rFonts w:ascii="Courier New" w:hAnsi="Courier New" w:cs="Courier New"/>
      <w:sz w:val="20"/>
      <w:szCs w:val="20"/>
    </w:rPr>
  </w:style>
  <w:style w:type="character" w:styleId="45">
    <w:name w:val="HTML Definition"/>
    <w:basedOn w:val="11"/>
    <w:qFormat/>
    <w:uiPriority w:val="0"/>
    <w:rPr>
      <w:i/>
      <w:iCs/>
    </w:rPr>
  </w:style>
  <w:style w:type="character" w:styleId="46">
    <w:name w:val="HTML Keyboard"/>
    <w:basedOn w:val="11"/>
    <w:qFormat/>
    <w:uiPriority w:val="0"/>
    <w:rPr>
      <w:rFonts w:ascii="Courier New" w:hAnsi="Courier New" w:cs="Courier New"/>
      <w:sz w:val="20"/>
      <w:szCs w:val="20"/>
    </w:rPr>
  </w:style>
  <w:style w:type="paragraph" w:styleId="47">
    <w:name w:val="HTML Preformatted"/>
    <w:basedOn w:val="1"/>
    <w:qFormat/>
    <w:uiPriority w:val="0"/>
    <w:rPr>
      <w:rFonts w:ascii="Courier New" w:hAnsi="Courier New" w:cs="Courier New"/>
      <w:sz w:val="20"/>
    </w:rPr>
  </w:style>
  <w:style w:type="character" w:styleId="48">
    <w:name w:val="HTML Sample"/>
    <w:basedOn w:val="11"/>
    <w:qFormat/>
    <w:uiPriority w:val="0"/>
    <w:rPr>
      <w:rFonts w:ascii="Courier New" w:hAnsi="Courier New" w:cs="Courier New"/>
    </w:rPr>
  </w:style>
  <w:style w:type="character" w:styleId="49">
    <w:name w:val="HTML Typewriter"/>
    <w:basedOn w:val="11"/>
    <w:qFormat/>
    <w:uiPriority w:val="0"/>
    <w:rPr>
      <w:rFonts w:ascii="Courier New" w:hAnsi="Courier New" w:cs="Courier New"/>
      <w:sz w:val="20"/>
      <w:szCs w:val="20"/>
    </w:rPr>
  </w:style>
  <w:style w:type="character" w:styleId="50">
    <w:name w:val="HTML Variable"/>
    <w:basedOn w:val="11"/>
    <w:qFormat/>
    <w:uiPriority w:val="0"/>
    <w:rPr>
      <w:i/>
      <w:iCs/>
    </w:rPr>
  </w:style>
  <w:style w:type="character" w:styleId="51">
    <w:name w:val="Hyperlink"/>
    <w:basedOn w:val="11"/>
    <w:qFormat/>
    <w:uiPriority w:val="99"/>
    <w:rPr>
      <w:color w:val="0000FF"/>
      <w:u w:val="single"/>
    </w:rPr>
  </w:style>
  <w:style w:type="paragraph" w:styleId="52">
    <w:name w:val="index 1"/>
    <w:basedOn w:val="1"/>
    <w:next w:val="1"/>
    <w:qFormat/>
    <w:uiPriority w:val="0"/>
  </w:style>
  <w:style w:type="paragraph" w:styleId="53">
    <w:name w:val="index 2"/>
    <w:basedOn w:val="1"/>
    <w:next w:val="1"/>
    <w:qFormat/>
    <w:uiPriority w:val="0"/>
    <w:pPr>
      <w:ind w:left="200" w:leftChars="200"/>
    </w:pPr>
  </w:style>
  <w:style w:type="paragraph" w:styleId="54">
    <w:name w:val="index 3"/>
    <w:basedOn w:val="1"/>
    <w:next w:val="1"/>
    <w:qFormat/>
    <w:uiPriority w:val="0"/>
    <w:pPr>
      <w:ind w:left="400" w:leftChars="400"/>
    </w:pPr>
  </w:style>
  <w:style w:type="paragraph" w:styleId="55">
    <w:name w:val="index 4"/>
    <w:basedOn w:val="1"/>
    <w:next w:val="1"/>
    <w:qFormat/>
    <w:uiPriority w:val="0"/>
    <w:pPr>
      <w:ind w:left="600" w:leftChars="600"/>
    </w:pPr>
  </w:style>
  <w:style w:type="paragraph" w:styleId="56">
    <w:name w:val="index 5"/>
    <w:basedOn w:val="1"/>
    <w:next w:val="1"/>
    <w:qFormat/>
    <w:uiPriority w:val="0"/>
    <w:pPr>
      <w:ind w:left="800" w:leftChars="800"/>
    </w:pPr>
  </w:style>
  <w:style w:type="paragraph" w:styleId="57">
    <w:name w:val="index 6"/>
    <w:basedOn w:val="1"/>
    <w:next w:val="1"/>
    <w:qFormat/>
    <w:uiPriority w:val="0"/>
    <w:pPr>
      <w:ind w:left="1000" w:leftChars="1000"/>
    </w:pPr>
  </w:style>
  <w:style w:type="paragraph" w:styleId="58">
    <w:name w:val="index 7"/>
    <w:basedOn w:val="1"/>
    <w:next w:val="1"/>
    <w:qFormat/>
    <w:uiPriority w:val="0"/>
    <w:pPr>
      <w:ind w:left="1200" w:leftChars="1200"/>
    </w:pPr>
  </w:style>
  <w:style w:type="paragraph" w:styleId="59">
    <w:name w:val="index 8"/>
    <w:basedOn w:val="1"/>
    <w:next w:val="1"/>
    <w:qFormat/>
    <w:uiPriority w:val="0"/>
    <w:pPr>
      <w:ind w:left="1400" w:leftChars="1400"/>
    </w:pPr>
  </w:style>
  <w:style w:type="paragraph" w:styleId="60">
    <w:name w:val="index 9"/>
    <w:basedOn w:val="1"/>
    <w:next w:val="1"/>
    <w:qFormat/>
    <w:uiPriority w:val="0"/>
    <w:pPr>
      <w:ind w:left="1600" w:leftChars="1600"/>
    </w:pPr>
  </w:style>
  <w:style w:type="paragraph" w:styleId="61">
    <w:name w:val="index heading"/>
    <w:basedOn w:val="1"/>
    <w:next w:val="52"/>
    <w:qFormat/>
    <w:uiPriority w:val="0"/>
    <w:rPr>
      <w:rFonts w:ascii="Arial" w:hAnsi="Arial" w:cs="Arial"/>
      <w:b/>
      <w:bCs/>
    </w:rPr>
  </w:style>
  <w:style w:type="character" w:styleId="62">
    <w:name w:val="line number"/>
    <w:basedOn w:val="11"/>
    <w:qFormat/>
    <w:uiPriority w:val="0"/>
  </w:style>
  <w:style w:type="paragraph" w:styleId="63">
    <w:name w:val="List"/>
    <w:basedOn w:val="1"/>
    <w:qFormat/>
    <w:uiPriority w:val="0"/>
    <w:pPr>
      <w:ind w:left="200" w:hanging="200" w:hangingChars="200"/>
    </w:pPr>
  </w:style>
  <w:style w:type="paragraph" w:styleId="64">
    <w:name w:val="List 2"/>
    <w:basedOn w:val="1"/>
    <w:qFormat/>
    <w:uiPriority w:val="0"/>
    <w:pPr>
      <w:ind w:left="100" w:leftChars="200" w:hanging="200" w:hangingChars="200"/>
    </w:pPr>
  </w:style>
  <w:style w:type="paragraph" w:styleId="65">
    <w:name w:val="List 3"/>
    <w:basedOn w:val="1"/>
    <w:qFormat/>
    <w:uiPriority w:val="0"/>
    <w:pPr>
      <w:ind w:left="100" w:leftChars="400" w:hanging="200" w:hangingChars="200"/>
    </w:pPr>
  </w:style>
  <w:style w:type="paragraph" w:styleId="66">
    <w:name w:val="List 4"/>
    <w:basedOn w:val="1"/>
    <w:qFormat/>
    <w:uiPriority w:val="0"/>
    <w:pPr>
      <w:ind w:left="100" w:leftChars="600" w:hanging="200" w:hangingChars="200"/>
    </w:pPr>
  </w:style>
  <w:style w:type="paragraph" w:styleId="67">
    <w:name w:val="List 5"/>
    <w:basedOn w:val="1"/>
    <w:qFormat/>
    <w:uiPriority w:val="0"/>
    <w:pPr>
      <w:ind w:left="100" w:leftChars="800" w:hanging="200" w:hangingChars="200"/>
    </w:pPr>
  </w:style>
  <w:style w:type="paragraph" w:styleId="68">
    <w:name w:val="List Bullet"/>
    <w:basedOn w:val="1"/>
    <w:qFormat/>
    <w:uiPriority w:val="0"/>
    <w:pPr>
      <w:numPr>
        <w:ilvl w:val="0"/>
        <w:numId w:val="1"/>
      </w:numPr>
    </w:pPr>
  </w:style>
  <w:style w:type="paragraph" w:styleId="69">
    <w:name w:val="List Bullet 2"/>
    <w:basedOn w:val="1"/>
    <w:qFormat/>
    <w:uiPriority w:val="0"/>
    <w:pPr>
      <w:numPr>
        <w:ilvl w:val="0"/>
        <w:numId w:val="2"/>
      </w:numPr>
    </w:pPr>
  </w:style>
  <w:style w:type="paragraph" w:styleId="70">
    <w:name w:val="List Bullet 3"/>
    <w:basedOn w:val="1"/>
    <w:qFormat/>
    <w:uiPriority w:val="0"/>
    <w:pPr>
      <w:numPr>
        <w:ilvl w:val="0"/>
        <w:numId w:val="3"/>
      </w:numPr>
    </w:pPr>
  </w:style>
  <w:style w:type="paragraph" w:styleId="71">
    <w:name w:val="List Bullet 4"/>
    <w:basedOn w:val="1"/>
    <w:qFormat/>
    <w:uiPriority w:val="0"/>
    <w:pPr>
      <w:numPr>
        <w:ilvl w:val="0"/>
        <w:numId w:val="4"/>
      </w:numPr>
    </w:pPr>
  </w:style>
  <w:style w:type="paragraph" w:styleId="72">
    <w:name w:val="List Bullet 5"/>
    <w:basedOn w:val="1"/>
    <w:qFormat/>
    <w:uiPriority w:val="0"/>
    <w:pPr>
      <w:numPr>
        <w:ilvl w:val="0"/>
        <w:numId w:val="5"/>
      </w:numPr>
    </w:pPr>
  </w:style>
  <w:style w:type="paragraph" w:styleId="73">
    <w:name w:val="List Continue"/>
    <w:basedOn w:val="1"/>
    <w:qFormat/>
    <w:uiPriority w:val="0"/>
    <w:pPr>
      <w:spacing w:after="120"/>
      <w:ind w:left="420" w:leftChars="200"/>
    </w:pPr>
  </w:style>
  <w:style w:type="paragraph" w:styleId="74">
    <w:name w:val="List Continue 2"/>
    <w:basedOn w:val="1"/>
    <w:qFormat/>
    <w:uiPriority w:val="0"/>
    <w:pPr>
      <w:spacing w:after="120"/>
      <w:ind w:left="840" w:leftChars="400"/>
    </w:pPr>
  </w:style>
  <w:style w:type="paragraph" w:styleId="75">
    <w:name w:val="List Continue 3"/>
    <w:basedOn w:val="1"/>
    <w:qFormat/>
    <w:uiPriority w:val="0"/>
    <w:pPr>
      <w:spacing w:after="120"/>
      <w:ind w:left="1260" w:leftChars="600"/>
    </w:pPr>
  </w:style>
  <w:style w:type="paragraph" w:styleId="76">
    <w:name w:val="List Continue 4"/>
    <w:basedOn w:val="1"/>
    <w:qFormat/>
    <w:uiPriority w:val="0"/>
    <w:pPr>
      <w:spacing w:after="120"/>
      <w:ind w:left="1680" w:leftChars="800"/>
    </w:pPr>
  </w:style>
  <w:style w:type="paragraph" w:styleId="77">
    <w:name w:val="List Continue 5"/>
    <w:basedOn w:val="1"/>
    <w:qFormat/>
    <w:uiPriority w:val="0"/>
    <w:pPr>
      <w:spacing w:after="120"/>
      <w:ind w:left="2100" w:leftChars="1000"/>
    </w:pPr>
  </w:style>
  <w:style w:type="paragraph" w:styleId="78">
    <w:name w:val="List Number"/>
    <w:basedOn w:val="1"/>
    <w:qFormat/>
    <w:uiPriority w:val="0"/>
    <w:pPr>
      <w:numPr>
        <w:ilvl w:val="0"/>
        <w:numId w:val="6"/>
      </w:numPr>
    </w:pPr>
  </w:style>
  <w:style w:type="paragraph" w:styleId="79">
    <w:name w:val="List Number 2"/>
    <w:basedOn w:val="1"/>
    <w:qFormat/>
    <w:uiPriority w:val="0"/>
    <w:pPr>
      <w:numPr>
        <w:ilvl w:val="0"/>
        <w:numId w:val="7"/>
      </w:numPr>
    </w:pPr>
  </w:style>
  <w:style w:type="paragraph" w:styleId="80">
    <w:name w:val="List Number 3"/>
    <w:basedOn w:val="1"/>
    <w:qFormat/>
    <w:uiPriority w:val="0"/>
    <w:pPr>
      <w:numPr>
        <w:ilvl w:val="0"/>
        <w:numId w:val="8"/>
      </w:numPr>
    </w:pPr>
  </w:style>
  <w:style w:type="paragraph" w:styleId="81">
    <w:name w:val="List Number 4"/>
    <w:basedOn w:val="1"/>
    <w:qFormat/>
    <w:uiPriority w:val="0"/>
    <w:pPr>
      <w:numPr>
        <w:ilvl w:val="0"/>
        <w:numId w:val="9"/>
      </w:numPr>
    </w:pPr>
  </w:style>
  <w:style w:type="paragraph" w:styleId="82">
    <w:name w:val="List Number 5"/>
    <w:basedOn w:val="1"/>
    <w:qFormat/>
    <w:uiPriority w:val="0"/>
    <w:pPr>
      <w:numPr>
        <w:ilvl w:val="0"/>
        <w:numId w:val="10"/>
      </w:numPr>
    </w:pPr>
  </w:style>
  <w:style w:type="paragraph" w:styleId="83">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eastAsiaTheme="minorEastAsia"/>
      <w:kern w:val="2"/>
      <w:sz w:val="24"/>
      <w:szCs w:val="24"/>
      <w:lang w:val="en-US" w:eastAsia="zh-CN" w:bidi="ar-SA"/>
    </w:rPr>
  </w:style>
  <w:style w:type="paragraph" w:styleId="8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5">
    <w:name w:val="Normal (Web)"/>
    <w:basedOn w:val="1"/>
    <w:qFormat/>
    <w:uiPriority w:val="0"/>
    <w:pPr>
      <w:ind w:left="0"/>
    </w:pPr>
    <w:rPr>
      <w:szCs w:val="32"/>
    </w:rPr>
  </w:style>
  <w:style w:type="paragraph" w:styleId="86">
    <w:name w:val="Normal Indent"/>
    <w:basedOn w:val="1"/>
    <w:qFormat/>
    <w:uiPriority w:val="0"/>
    <w:pPr>
      <w:ind w:firstLine="420" w:firstLineChars="200"/>
    </w:pPr>
  </w:style>
  <w:style w:type="paragraph" w:styleId="87">
    <w:name w:val="Note Heading"/>
    <w:basedOn w:val="1"/>
    <w:next w:val="1"/>
    <w:qFormat/>
    <w:uiPriority w:val="0"/>
    <w:pPr>
      <w:jc w:val="center"/>
    </w:pPr>
  </w:style>
  <w:style w:type="character" w:styleId="88">
    <w:name w:val="page number"/>
    <w:basedOn w:val="11"/>
    <w:qFormat/>
    <w:uiPriority w:val="0"/>
  </w:style>
  <w:style w:type="paragraph" w:styleId="89">
    <w:name w:val="Plain Text"/>
    <w:basedOn w:val="1"/>
    <w:qFormat/>
    <w:uiPriority w:val="0"/>
    <w:rPr>
      <w:rFonts w:ascii="SimSun" w:hAnsi="Courier New" w:cs="Courier New"/>
      <w:szCs w:val="21"/>
    </w:rPr>
  </w:style>
  <w:style w:type="paragraph" w:styleId="90">
    <w:name w:val="Salutation"/>
    <w:basedOn w:val="1"/>
    <w:next w:val="1"/>
    <w:qFormat/>
    <w:uiPriority w:val="0"/>
  </w:style>
  <w:style w:type="paragraph" w:styleId="91">
    <w:name w:val="Signature"/>
    <w:basedOn w:val="1"/>
    <w:qFormat/>
    <w:uiPriority w:val="0"/>
    <w:pPr>
      <w:ind w:left="100" w:leftChars="2100"/>
    </w:pPr>
  </w:style>
  <w:style w:type="character" w:styleId="92">
    <w:name w:val="Strong"/>
    <w:basedOn w:val="11"/>
    <w:qFormat/>
    <w:uiPriority w:val="22"/>
    <w:rPr>
      <w:b/>
      <w:bCs/>
    </w:rPr>
  </w:style>
  <w:style w:type="paragraph" w:styleId="93">
    <w:name w:val="Subtitle"/>
    <w:basedOn w:val="1"/>
    <w:qFormat/>
    <w:uiPriority w:val="0"/>
    <w:pPr>
      <w:spacing w:before="240" w:after="60" w:line="312" w:lineRule="auto"/>
      <w:jc w:val="center"/>
      <w:outlineLvl w:val="1"/>
    </w:pPr>
    <w:rPr>
      <w:rFonts w:ascii="Arial" w:hAnsi="Arial" w:cs="Arial"/>
      <w:b/>
      <w:bCs/>
      <w:kern w:val="28"/>
      <w:szCs w:val="32"/>
    </w:rPr>
  </w:style>
  <w:style w:type="table" w:styleId="94">
    <w:name w:val="Table 3D effects 1"/>
    <w:basedOn w:val="12"/>
    <w:qFormat/>
    <w:uiPriority w:val="0"/>
    <w:pPr>
      <w:widowControl w:val="0"/>
      <w:jc w:val="both"/>
    </w:pPr>
    <w:tblPr/>
    <w:tcPr>
      <w:shd w:val="solid" w:color="C0C0C0" w:fill="FFFFFF"/>
    </w:tcPr>
    <w:tblStylePr w:type="firstRow">
      <w:rPr>
        <w:b/>
        <w:bCs/>
        <w:color w:val="800080"/>
      </w:rPr>
      <w:tblPr/>
      <w:tcPr>
        <w:tcBorders>
          <w:left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bottom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color w:val="000080"/>
      </w:rPr>
      <w:tblPr/>
      <w:tcPr>
        <w:tcBorders>
          <w:top w:val="nil"/>
          <w:right w:val="nil"/>
          <w:tl2br w:val="nil"/>
          <w:tr2bl w:val="nil"/>
        </w:tcBorders>
      </w:tcPr>
    </w:tblStylePr>
  </w:style>
  <w:style w:type="table" w:styleId="95">
    <w:name w:val="Table 3D effects 2"/>
    <w:basedOn w:val="12"/>
    <w:qFormat/>
    <w:uiPriority w:val="0"/>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6">
    <w:name w:val="Table 3D effects 3"/>
    <w:basedOn w:val="12"/>
    <w:qFormat/>
    <w:uiPriority w:val="0"/>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7">
    <w:name w:val="Table Classic 1"/>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8">
    <w:name w:val="Table Classic 2"/>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left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9">
    <w:name w:val="Table Classic 3"/>
    <w:basedOn w:val="12"/>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left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100">
    <w:name w:val="Table Classic 4"/>
    <w:basedOn w:val="12"/>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left w:val="single" w:color="000000" w:sz="6" w:space="0"/>
          <w:tl2br w:val="nil"/>
          <w:tr2bl w:val="nil"/>
        </w:tcBorders>
        <w:shd w:val="pct50" w:color="000080" w:fill="FFFFFF"/>
      </w:tcPr>
    </w:tblStylePr>
    <w:tblStylePr w:type="lastRow">
      <w:rPr>
        <w:color w:val="000080"/>
      </w:rPr>
      <w:tblPr/>
      <w:tcPr>
        <w:tcBorders>
          <w:left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01">
    <w:name w:val="Table Colorful 1"/>
    <w:basedOn w:val="12"/>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102">
    <w:name w:val="Table Colorful 2"/>
    <w:basedOn w:val="12"/>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left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103">
    <w:name w:val="Table Colorful 3"/>
    <w:basedOn w:val="12"/>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left w:val="single" w:color="000000" w:sz="6" w:space="0"/>
          <w:tl2br w:val="nil"/>
          <w:tr2bl w:val="nil"/>
        </w:tcBorders>
        <w:shd w:val="solid" w:color="008080" w:fill="FFFFFF"/>
      </w:tcPr>
    </w:tblStylePr>
    <w:tblStylePr w:type="firstCol">
      <w:tblPr/>
      <w:tcPr>
        <w:tcBorders>
          <w:bottom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104">
    <w:name w:val="Table Columns 1"/>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left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Columns 2"/>
    <w:basedOn w:val="12"/>
    <w:qFormat/>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6">
    <w:name w:val="Table Columns 3"/>
    <w:basedOn w:val="12"/>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07">
    <w:name w:val="Table Columns 4"/>
    <w:basedOn w:val="12"/>
    <w:qFormat/>
    <w:uiPriority w:val="0"/>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08">
    <w:name w:val="Table Columns 5"/>
    <w:basedOn w:val="12"/>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left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09">
    <w:name w:val="Table Contemporary"/>
    <w:basedOn w:val="12"/>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0">
    <w:name w:val="Table Elegant"/>
    <w:basedOn w:val="1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111">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table" w:styleId="112">
    <w:name w:val="Table Grid 1"/>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13">
    <w:name w:val="Table Grid 2"/>
    <w:basedOn w:val="12"/>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14">
    <w:name w:val="Table Grid 3"/>
    <w:basedOn w:val="12"/>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left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5">
    <w:name w:val="Table Grid 4"/>
    <w:basedOn w:val="12"/>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left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16">
    <w:name w:val="Table Grid 5"/>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left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7">
    <w:name w:val="Table Grid 6"/>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18">
    <w:name w:val="Table Grid 7"/>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left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19">
    <w:name w:val="Table Grid 8"/>
    <w:basedOn w:val="1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0">
    <w:name w:val="Table List 1"/>
    <w:basedOn w:val="12"/>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left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1">
    <w:name w:val="Table List 2"/>
    <w:basedOn w:val="12"/>
    <w:qFormat/>
    <w:uiPriority w:val="0"/>
    <w:pPr>
      <w:widowControl w:val="0"/>
      <w:jc w:val="both"/>
    </w:pPr>
    <w:tblPr>
      <w:tblBorders>
        <w:bottom w:val="single" w:color="808080" w:sz="12" w:space="0"/>
      </w:tblBorders>
    </w:tblPr>
    <w:tblStylePr w:type="firstRow">
      <w:rPr>
        <w:b/>
        <w:bCs/>
        <w:color w:val="FFFFFF"/>
      </w:rPr>
      <w:tblPr/>
      <w:tcPr>
        <w:tcBorders>
          <w:left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2">
    <w:name w:val="Table List 3"/>
    <w:basedOn w:val="12"/>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23">
    <w:name w:val="Table List 4"/>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left w:val="single" w:color="000000" w:sz="12" w:space="0"/>
          <w:tl2br w:val="nil"/>
          <w:tr2bl w:val="nil"/>
        </w:tcBorders>
        <w:shd w:val="solid" w:color="808080" w:fill="FFFFFF"/>
      </w:tcPr>
    </w:tblStylePr>
  </w:style>
  <w:style w:type="table" w:styleId="124">
    <w:name w:val="Table List 5"/>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firstCol">
      <w:rPr>
        <w:b/>
        <w:bCs/>
      </w:rPr>
      <w:tblPr/>
      <w:tcPr>
        <w:tcBorders>
          <w:tl2br w:val="nil"/>
          <w:tr2bl w:val="nil"/>
        </w:tcBorders>
      </w:tcPr>
    </w:tblStylePr>
  </w:style>
  <w:style w:type="table" w:styleId="125">
    <w:name w:val="Table List 6"/>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left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26">
    <w:name w:val="Table List 7"/>
    <w:basedOn w:val="12"/>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left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27">
    <w:name w:val="Table List 8"/>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left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paragraph" w:styleId="128">
    <w:name w:val="table of authorities"/>
    <w:basedOn w:val="1"/>
    <w:next w:val="1"/>
    <w:qFormat/>
    <w:uiPriority w:val="0"/>
    <w:pPr>
      <w:ind w:left="420" w:leftChars="200"/>
    </w:pPr>
  </w:style>
  <w:style w:type="paragraph" w:styleId="129">
    <w:name w:val="table of figures"/>
    <w:basedOn w:val="1"/>
    <w:next w:val="1"/>
    <w:qFormat/>
    <w:uiPriority w:val="0"/>
    <w:pPr>
      <w:ind w:left="200" w:leftChars="200" w:hanging="200" w:hangingChars="200"/>
    </w:pPr>
  </w:style>
  <w:style w:type="table" w:styleId="130">
    <w:name w:val="Table Professional"/>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1">
    <w:name w:val="Table Simple 1"/>
    <w:basedOn w:val="12"/>
    <w:qFormat/>
    <w:uiPriority w:val="0"/>
    <w:pPr>
      <w:widowControl w:val="0"/>
      <w:jc w:val="both"/>
    </w:pPr>
    <w:tblPr>
      <w:tblBorders>
        <w:top w:val="single" w:color="008000" w:sz="12" w:space="0"/>
        <w:bottom w:val="single" w:color="008000" w:sz="12" w:space="0"/>
      </w:tblBorders>
    </w:tblPr>
    <w:tcPr>
      <w:shd w:val="clear" w:color="auto" w:fill="auto"/>
    </w:tcPr>
    <w:tblStylePr w:type="firstRow">
      <w:tblPr/>
      <w:tcPr>
        <w:tcBorders>
          <w:left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32">
    <w:name w:val="Table Simple 2"/>
    <w:basedOn w:val="12"/>
    <w:qFormat/>
    <w:uiPriority w:val="0"/>
    <w:pPr>
      <w:widowControl w:val="0"/>
      <w:jc w:val="both"/>
    </w:pPr>
    <w:tblPr/>
    <w:tblStylePr w:type="firstRow">
      <w:rPr>
        <w:b/>
        <w:bCs/>
      </w:rPr>
      <w:tblPr/>
      <w:tcPr>
        <w:tcBorders>
          <w:left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bottom w:val="single" w:color="000000" w:sz="6" w:space="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133">
    <w:name w:val="Table Simple 3"/>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34">
    <w:name w:val="Table Subtle 1"/>
    <w:basedOn w:val="12"/>
    <w:qFormat/>
    <w:uiPriority w:val="0"/>
    <w:pPr>
      <w:widowControl w:val="0"/>
      <w:jc w:val="both"/>
    </w:pPr>
    <w:tblPr>
      <w:tblStyleRowBandSize w:val="1"/>
    </w:tblPr>
    <w:tblStylePr w:type="firstRow">
      <w:tblPr/>
      <w:tcPr>
        <w:tcBorders>
          <w:top w:val="single" w:color="000000" w:sz="6" w:space="0"/>
          <w:left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bottom w:val="single" w:color="000000" w:sz="12" w:space="0"/>
          <w:tl2br w:val="nil"/>
          <w:tr2bl w:val="nil"/>
        </w:tcBorders>
      </w:tcPr>
    </w:tblStylePr>
    <w:tblStylePr w:type="band1Horz">
      <w:tblPr/>
      <w:tcPr>
        <w:tcBorders>
          <w:left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5">
    <w:name w:val="Table Subtle 2"/>
    <w:basedOn w:val="12"/>
    <w:qFormat/>
    <w:uiPriority w:val="0"/>
    <w:pPr>
      <w:widowControl w:val="0"/>
      <w:jc w:val="both"/>
    </w:pPr>
    <w:tblPr>
      <w:tblBorders>
        <w:left w:val="single" w:color="000000" w:sz="6" w:space="0"/>
        <w:right w:val="single" w:color="000000" w:sz="6" w:space="0"/>
      </w:tblBorders>
    </w:tblPr>
    <w:tblStylePr w:type="firstRow">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bottom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6">
    <w:name w:val="Table Theme"/>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7">
    <w:name w:val="Table Web 1"/>
    <w:basedOn w:val="12"/>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8">
    <w:name w:val="Table Web 2"/>
    <w:basedOn w:val="12"/>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9">
    <w:name w:val="Table Web 3"/>
    <w:basedOn w:val="12"/>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140">
    <w:name w:val="Title"/>
    <w:basedOn w:val="1"/>
    <w:qFormat/>
    <w:uiPriority w:val="0"/>
    <w:pPr>
      <w:spacing w:before="240" w:after="60"/>
      <w:jc w:val="center"/>
      <w:outlineLvl w:val="0"/>
    </w:pPr>
    <w:rPr>
      <w:rFonts w:ascii="Arial" w:hAnsi="Arial" w:cs="Arial"/>
      <w:b/>
      <w:bCs/>
      <w:szCs w:val="32"/>
    </w:rPr>
  </w:style>
  <w:style w:type="paragraph" w:styleId="141">
    <w:name w:val="toa heading"/>
    <w:basedOn w:val="1"/>
    <w:next w:val="1"/>
    <w:qFormat/>
    <w:uiPriority w:val="0"/>
    <w:pPr>
      <w:spacing w:before="120"/>
    </w:pPr>
    <w:rPr>
      <w:rFonts w:ascii="Arial" w:hAnsi="Arial" w:cs="Arial"/>
      <w:sz w:val="24"/>
    </w:rPr>
  </w:style>
  <w:style w:type="paragraph" w:styleId="142">
    <w:name w:val="toc 1"/>
    <w:basedOn w:val="1"/>
    <w:next w:val="1"/>
    <w:qFormat/>
    <w:uiPriority w:val="39"/>
  </w:style>
  <w:style w:type="paragraph" w:styleId="143">
    <w:name w:val="toc 2"/>
    <w:basedOn w:val="1"/>
    <w:next w:val="1"/>
    <w:qFormat/>
    <w:uiPriority w:val="39"/>
    <w:pPr>
      <w:ind w:left="420" w:leftChars="200"/>
    </w:pPr>
  </w:style>
  <w:style w:type="paragraph" w:styleId="144">
    <w:name w:val="toc 3"/>
    <w:basedOn w:val="1"/>
    <w:next w:val="1"/>
    <w:qFormat/>
    <w:uiPriority w:val="39"/>
    <w:pPr>
      <w:ind w:left="840" w:leftChars="400"/>
    </w:pPr>
  </w:style>
  <w:style w:type="paragraph" w:styleId="145">
    <w:name w:val="toc 4"/>
    <w:basedOn w:val="1"/>
    <w:next w:val="1"/>
    <w:qFormat/>
    <w:uiPriority w:val="0"/>
    <w:pPr>
      <w:ind w:left="1260" w:leftChars="600"/>
    </w:pPr>
  </w:style>
  <w:style w:type="paragraph" w:styleId="146">
    <w:name w:val="toc 5"/>
    <w:basedOn w:val="1"/>
    <w:next w:val="1"/>
    <w:qFormat/>
    <w:uiPriority w:val="0"/>
    <w:pPr>
      <w:ind w:left="1680" w:leftChars="800"/>
    </w:pPr>
  </w:style>
  <w:style w:type="paragraph" w:styleId="147">
    <w:name w:val="toc 6"/>
    <w:basedOn w:val="1"/>
    <w:next w:val="1"/>
    <w:qFormat/>
    <w:uiPriority w:val="0"/>
    <w:pPr>
      <w:ind w:left="2100" w:leftChars="1000"/>
    </w:pPr>
  </w:style>
  <w:style w:type="paragraph" w:styleId="148">
    <w:name w:val="toc 7"/>
    <w:basedOn w:val="1"/>
    <w:next w:val="1"/>
    <w:qFormat/>
    <w:uiPriority w:val="0"/>
    <w:pPr>
      <w:ind w:left="2520" w:leftChars="1200"/>
    </w:pPr>
  </w:style>
  <w:style w:type="paragraph" w:styleId="149">
    <w:name w:val="toc 8"/>
    <w:basedOn w:val="1"/>
    <w:next w:val="1"/>
    <w:qFormat/>
    <w:uiPriority w:val="0"/>
    <w:pPr>
      <w:ind w:left="2940" w:leftChars="1400"/>
    </w:pPr>
  </w:style>
  <w:style w:type="paragraph" w:styleId="150">
    <w:name w:val="toc 9"/>
    <w:basedOn w:val="1"/>
    <w:next w:val="1"/>
    <w:qFormat/>
    <w:uiPriority w:val="0"/>
    <w:pPr>
      <w:ind w:left="3360" w:leftChars="1600"/>
    </w:pPr>
  </w:style>
  <w:style w:type="table" w:styleId="151">
    <w:name w:val="Light Shading"/>
    <w:basedOn w:val="12"/>
    <w:qFormat/>
    <w:uiPriority w:val="60"/>
    <w:rPr>
      <w:color w:val="000000"/>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la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152">
    <w:name w:val="Light Shading Accent 1"/>
    <w:basedOn w:val="12"/>
    <w:qFormat/>
    <w:uiPriority w:val="60"/>
    <w:rPr>
      <w:color w:val="365F91"/>
    </w:rPr>
    <w:tblPr>
      <w:tblBorders>
        <w:top w:val="single" w:color="4F81BD" w:sz="8" w:space="0"/>
        <w:bottom w:val="single" w:color="4F81BD" w:sz="8" w:space="0"/>
      </w:tblBorders>
    </w:tblPr>
    <w:tblStylePr w:type="fir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la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153">
    <w:name w:val="Light Shading Accent 2"/>
    <w:basedOn w:val="12"/>
    <w:qFormat/>
    <w:uiPriority w:val="60"/>
    <w:rPr>
      <w:color w:val="943634"/>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la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154">
    <w:name w:val="Light Shading Accent 3"/>
    <w:basedOn w:val="12"/>
    <w:qFormat/>
    <w:uiPriority w:val="60"/>
    <w:rPr>
      <w:color w:val="76923C"/>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la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155">
    <w:name w:val="Light Shading Accent 4"/>
    <w:basedOn w:val="12"/>
    <w:qFormat/>
    <w:uiPriority w:val="60"/>
    <w:rPr>
      <w:color w:val="5F497A"/>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la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156">
    <w:name w:val="Light Shading Accent 5"/>
    <w:basedOn w:val="12"/>
    <w:qFormat/>
    <w:uiPriority w:val="60"/>
    <w:rPr>
      <w:color w:val="31849B"/>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la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157">
    <w:name w:val="Light Shading Accent 6"/>
    <w:basedOn w:val="12"/>
    <w:qFormat/>
    <w:uiPriority w:val="60"/>
    <w:rPr>
      <w:color w:val="E36C0A"/>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la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158">
    <w:name w:val="Light List"/>
    <w:basedOn w:val="12"/>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159">
    <w:name w:val="Light List Accent 1"/>
    <w:basedOn w:val="12"/>
    <w:qFormat/>
    <w:uiPriority w:val="61"/>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StylePr>
    <w:tblStylePr w:type="lastCol">
      <w:rPr>
        <w:b/>
        <w:bCs/>
      </w:r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table" w:styleId="160">
    <w:name w:val="Light List Accent 2"/>
    <w:basedOn w:val="12"/>
    <w:qFormat/>
    <w:uiPriority w:val="61"/>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blPr/>
      <w:tcPr>
        <w:tcBorders>
          <w:top w:val="single" w:color="C0504D" w:sz="8" w:space="0"/>
          <w:left w:val="single" w:color="C0504D" w:sz="8" w:space="0"/>
          <w:bottom w:val="single" w:color="C0504D" w:sz="8" w:space="0"/>
          <w:right w:val="single" w:color="C0504D" w:sz="8" w:space="0"/>
        </w:tcBorders>
      </w:tcPr>
    </w:tblStylePr>
    <w:tblStylePr w:type="band1Horz">
      <w:tblPr/>
      <w:tcPr>
        <w:tcBorders>
          <w:top w:val="single" w:color="C0504D" w:sz="8" w:space="0"/>
          <w:left w:val="single" w:color="C0504D" w:sz="8" w:space="0"/>
          <w:bottom w:val="single" w:color="C0504D" w:sz="8" w:space="0"/>
          <w:right w:val="single" w:color="C0504D" w:sz="8" w:space="0"/>
        </w:tcBorders>
      </w:tcPr>
    </w:tblStylePr>
  </w:style>
  <w:style w:type="table" w:styleId="161">
    <w:name w:val="Light List Accent 3"/>
    <w:basedOn w:val="12"/>
    <w:qFormat/>
    <w:uiPriority w:val="61"/>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162">
    <w:name w:val="Light List Accent 4"/>
    <w:basedOn w:val="12"/>
    <w:qFormat/>
    <w:uiPriority w:val="61"/>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blPr/>
      <w:tcPr>
        <w:tcBorders>
          <w:top w:val="single" w:color="8064A2" w:sz="8" w:space="0"/>
          <w:left w:val="single" w:color="8064A2" w:sz="8" w:space="0"/>
          <w:bottom w:val="single" w:color="8064A2" w:sz="8" w:space="0"/>
          <w:right w:val="single" w:color="8064A2" w:sz="8" w:space="0"/>
        </w:tcBorders>
      </w:tcPr>
    </w:tblStylePr>
    <w:tblStylePr w:type="band1Horz">
      <w:tblPr/>
      <w:tcPr>
        <w:tcBorders>
          <w:top w:val="single" w:color="8064A2" w:sz="8" w:space="0"/>
          <w:left w:val="single" w:color="8064A2" w:sz="8" w:space="0"/>
          <w:bottom w:val="single" w:color="8064A2" w:sz="8" w:space="0"/>
          <w:right w:val="single" w:color="8064A2" w:sz="8" w:space="0"/>
        </w:tcBorders>
      </w:tcPr>
    </w:tblStylePr>
  </w:style>
  <w:style w:type="table" w:styleId="163">
    <w:name w:val="Light List Accent 5"/>
    <w:basedOn w:val="12"/>
    <w:qFormat/>
    <w:uiPriority w:val="61"/>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164">
    <w:name w:val="Light List Accent 6"/>
    <w:basedOn w:val="12"/>
    <w:qFormat/>
    <w:uiPriority w:val="61"/>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tcBorders>
      </w:tcPr>
    </w:tblStylePr>
    <w:tblStylePr w:type="firstCol">
      <w:rPr>
        <w:b/>
        <w:bCs/>
      </w:rPr>
    </w:tblStylePr>
    <w:tblStylePr w:type="lastCol">
      <w:rPr>
        <w:b/>
        <w:bCs/>
      </w:rPr>
    </w:tblStylePr>
    <w:tblStylePr w:type="band1Vert">
      <w:tblPr/>
      <w:tcPr>
        <w:tcBorders>
          <w:top w:val="single" w:color="F79646" w:sz="8" w:space="0"/>
          <w:left w:val="single" w:color="F79646" w:sz="8" w:space="0"/>
          <w:bottom w:val="single" w:color="F79646" w:sz="8" w:space="0"/>
          <w:right w:val="single" w:color="F79646" w:sz="8" w:space="0"/>
        </w:tcBorders>
      </w:tcPr>
    </w:tblStylePr>
    <w:tblStylePr w:type="band1Horz">
      <w:tblPr/>
      <w:tcPr>
        <w:tcBorders>
          <w:top w:val="single" w:color="F79646" w:sz="8" w:space="0"/>
          <w:left w:val="single" w:color="F79646" w:sz="8" w:space="0"/>
          <w:bottom w:val="single" w:color="F79646" w:sz="8" w:space="0"/>
          <w:right w:val="single" w:color="F79646" w:sz="8" w:space="0"/>
        </w:tcBorders>
      </w:tcPr>
    </w:tblStylePr>
  </w:style>
  <w:style w:type="table" w:styleId="165">
    <w:name w:val="Light Grid"/>
    <w:basedOn w:val="12"/>
    <w:qFormat/>
    <w:uiPriority w:val="62"/>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rFonts w:cs="Times New Roman"/>
        <w:b/>
        <w:bCs/>
      </w:rPr>
      <w:tblPr/>
      <w:tcPr>
        <w:tcBorders>
          <w:top w:val="single" w:color="000000" w:sz="8" w:space="0"/>
          <w:left w:val="single" w:color="000000" w:sz="18" w:space="0"/>
          <w:bottom w:val="single" w:color="000000" w:sz="8" w:space="0"/>
          <w:right w:val="single" w:color="000000" w:sz="8" w:space="0"/>
          <w:insideH w:val="nil"/>
          <w:insideV w:val="single" w:sz="8" w:space="0"/>
        </w:tcBorders>
      </w:tcPr>
    </w:tblStylePr>
    <w:tblStylePr w:type="lastRow">
      <w:pPr>
        <w:spacing w:before="0" w:after="0" w:line="240" w:lineRule="auto"/>
      </w:pPr>
      <w:rPr>
        <w:rFonts w:cs="Times New Roman"/>
        <w:b/>
        <w:bCs/>
      </w:rPr>
      <w:tblPr/>
      <w:tcPr>
        <w:tcBorders>
          <w:top w:val="double" w:color="000000" w:sz="6" w:space="0"/>
          <w:left w:val="single" w:color="000000" w:sz="8" w:space="0"/>
          <w:bottom w:val="single" w:color="000000" w:sz="8" w:space="0"/>
          <w:right w:val="single" w:color="000000"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sz="8" w:space="0"/>
        </w:tcBorders>
      </w:tcPr>
    </w:tblStylePr>
  </w:style>
  <w:style w:type="table" w:styleId="166">
    <w:name w:val="Light Grid Accent 1"/>
    <w:basedOn w:val="12"/>
    <w:qFormat/>
    <w:uiPriority w:val="62"/>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cs="Times New Roman"/>
        <w:b/>
        <w:bCs/>
      </w:rPr>
      <w:tblPr/>
      <w:tcPr>
        <w:tcBorders>
          <w:top w:val="single" w:color="4F81BD" w:sz="8" w:space="0"/>
          <w:left w:val="single" w:color="4F81BD" w:sz="18" w:space="0"/>
          <w:bottom w:val="single" w:color="4F81BD" w:sz="8" w:space="0"/>
          <w:right w:val="single" w:color="4F81BD" w:sz="8" w:space="0"/>
          <w:insideH w:val="nil"/>
          <w:insideV w:val="single" w:sz="8" w:space="0"/>
        </w:tcBorders>
      </w:tcPr>
    </w:tblStylePr>
    <w:tblStylePr w:type="lastRow">
      <w:pPr>
        <w:spacing w:before="0" w:after="0" w:line="240" w:lineRule="auto"/>
      </w:pPr>
      <w:rPr>
        <w:rFonts w:cs="Times New Roman"/>
        <w:b/>
        <w:bCs/>
      </w:rPr>
      <w:tblPr/>
      <w:tcPr>
        <w:tcBorders>
          <w:top w:val="double" w:color="4F81BD" w:sz="6" w:space="0"/>
          <w:left w:val="single" w:color="4F81BD" w:sz="8" w:space="0"/>
          <w:bottom w:val="single" w:color="4F81BD" w:sz="8" w:space="0"/>
          <w:right w:val="single" w:color="4F81B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blPr/>
      <w:tcPr>
        <w:tcBorders>
          <w:top w:val="single" w:color="4F81BD" w:sz="8" w:space="0"/>
          <w:left w:val="single" w:color="4F81BD" w:sz="8" w:space="0"/>
          <w:bottom w:val="single" w:color="4F81BD" w:sz="8" w:space="0"/>
          <w:right w:val="single" w:color="4F81BD" w:sz="8" w:space="0"/>
          <w:insideV w:val="single" w:sz="8" w:space="0"/>
        </w:tcBorders>
        <w:shd w:val="clear" w:color="auto" w:fill="D3DFEE"/>
      </w:tcPr>
    </w:tblStylePr>
    <w:tblStylePr w:type="band2Horz">
      <w:tblPr/>
      <w:tcPr>
        <w:tcBorders>
          <w:top w:val="single" w:color="4F81BD" w:sz="8" w:space="0"/>
          <w:left w:val="single" w:color="4F81BD" w:sz="8" w:space="0"/>
          <w:bottom w:val="single" w:color="4F81BD" w:sz="8" w:space="0"/>
          <w:right w:val="single" w:color="4F81BD" w:sz="8" w:space="0"/>
          <w:insideV w:val="single" w:sz="8" w:space="0"/>
        </w:tcBorders>
      </w:tcPr>
    </w:tblStylePr>
  </w:style>
  <w:style w:type="table" w:styleId="167">
    <w:name w:val="Light Grid Accent 2"/>
    <w:basedOn w:val="12"/>
    <w:qFormat/>
    <w:uiPriority w:val="62"/>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cs="Times New Roman"/>
        <w:b/>
        <w:bCs/>
      </w:rPr>
      <w:tblPr/>
      <w:tcPr>
        <w:tcBorders>
          <w:top w:val="single" w:color="C0504D" w:sz="8" w:space="0"/>
          <w:left w:val="single" w:color="C0504D" w:sz="18" w:space="0"/>
          <w:bottom w:val="single" w:color="C0504D" w:sz="8" w:space="0"/>
          <w:right w:val="single" w:color="C0504D" w:sz="8" w:space="0"/>
          <w:insideH w:val="nil"/>
          <w:insideV w:val="single" w:sz="8" w:space="0"/>
        </w:tcBorders>
      </w:tcPr>
    </w:tblStylePr>
    <w:tblStylePr w:type="lastRow">
      <w:pPr>
        <w:spacing w:before="0" w:after="0" w:line="240" w:lineRule="auto"/>
      </w:pPr>
      <w:rPr>
        <w:rFonts w:cs="Times New Roman"/>
        <w:b/>
        <w:bCs/>
      </w:rPr>
      <w:tblPr/>
      <w:tcPr>
        <w:tcBorders>
          <w:top w:val="double" w:color="C0504D" w:sz="6" w:space="0"/>
          <w:left w:val="single" w:color="C0504D" w:sz="8" w:space="0"/>
          <w:bottom w:val="single" w:color="C0504D" w:sz="8" w:space="0"/>
          <w:right w:val="single" w:color="C0504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C0504D" w:sz="8" w:space="0"/>
          <w:left w:val="single" w:color="C0504D" w:sz="8" w:space="0"/>
          <w:bottom w:val="single" w:color="C0504D" w:sz="8" w:space="0"/>
          <w:right w:val="single" w:color="C0504D" w:sz="8" w:space="0"/>
        </w:tcBorders>
      </w:tcPr>
    </w:tblStylePr>
    <w:tblStylePr w:type="band1Vert">
      <w:tblPr/>
      <w:tcPr>
        <w:tcBorders>
          <w:top w:val="single" w:color="C0504D" w:sz="8" w:space="0"/>
          <w:left w:val="single" w:color="C0504D" w:sz="8" w:space="0"/>
          <w:bottom w:val="single" w:color="C0504D" w:sz="8" w:space="0"/>
          <w:right w:val="single" w:color="C0504D" w:sz="8" w:space="0"/>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V w:val="single" w:sz="8" w:space="0"/>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V w:val="single" w:sz="8" w:space="0"/>
        </w:tcBorders>
      </w:tcPr>
    </w:tblStylePr>
  </w:style>
  <w:style w:type="table" w:styleId="168">
    <w:name w:val="Light Grid Accent 3"/>
    <w:basedOn w:val="12"/>
    <w:qFormat/>
    <w:uiPriority w:val="62"/>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cs="Times New Roman"/>
        <w:b/>
        <w:bCs/>
      </w:rPr>
      <w:tblPr/>
      <w:tcPr>
        <w:tcBorders>
          <w:top w:val="single" w:color="9BBB59" w:sz="8" w:space="0"/>
          <w:left w:val="single" w:color="9BBB59" w:sz="18" w:space="0"/>
          <w:bottom w:val="single" w:color="9BBB59" w:sz="8" w:space="0"/>
          <w:right w:val="single" w:color="9BBB59" w:sz="8" w:space="0"/>
          <w:insideH w:val="nil"/>
          <w:insideV w:val="single" w:sz="8" w:space="0"/>
        </w:tcBorders>
      </w:tcPr>
    </w:tblStylePr>
    <w:tblStylePr w:type="lastRow">
      <w:pPr>
        <w:spacing w:before="0" w:after="0" w:line="240" w:lineRule="auto"/>
      </w:pPr>
      <w:rPr>
        <w:rFonts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sz="8" w:space="0"/>
        </w:tcBorders>
      </w:tcPr>
    </w:tblStylePr>
  </w:style>
  <w:style w:type="table" w:styleId="169">
    <w:name w:val="Light Grid Accent 4"/>
    <w:basedOn w:val="12"/>
    <w:qFormat/>
    <w:uiPriority w:val="62"/>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cs="Times New Roman"/>
        <w:b/>
        <w:bCs/>
      </w:rPr>
      <w:tblPr/>
      <w:tcPr>
        <w:tcBorders>
          <w:top w:val="single" w:color="8064A2" w:sz="8" w:space="0"/>
          <w:left w:val="single" w:color="8064A2" w:sz="18" w:space="0"/>
          <w:bottom w:val="single" w:color="8064A2" w:sz="8" w:space="0"/>
          <w:right w:val="single" w:color="8064A2" w:sz="8" w:space="0"/>
          <w:insideH w:val="nil"/>
          <w:insideV w:val="single" w:sz="8" w:space="0"/>
        </w:tcBorders>
      </w:tcPr>
    </w:tblStylePr>
    <w:tblStylePr w:type="lastRow">
      <w:pPr>
        <w:spacing w:before="0" w:after="0" w:line="240" w:lineRule="auto"/>
      </w:pPr>
      <w:rPr>
        <w:rFonts w:cs="Times New Roman"/>
        <w:b/>
        <w:bCs/>
      </w:rPr>
      <w:tblPr/>
      <w:tcPr>
        <w:tcBorders>
          <w:top w:val="double" w:color="8064A2" w:sz="6" w:space="0"/>
          <w:left w:val="single" w:color="8064A2" w:sz="8" w:space="0"/>
          <w:bottom w:val="single" w:color="8064A2" w:sz="8" w:space="0"/>
          <w:right w:val="single" w:color="8064A2"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8064A2" w:sz="8" w:space="0"/>
          <w:left w:val="single" w:color="8064A2" w:sz="8" w:space="0"/>
          <w:bottom w:val="single" w:color="8064A2" w:sz="8" w:space="0"/>
          <w:right w:val="single" w:color="8064A2" w:sz="8" w:space="0"/>
        </w:tcBorders>
      </w:tcPr>
    </w:tblStylePr>
    <w:tblStylePr w:type="band1Vert">
      <w:tblPr/>
      <w:tcPr>
        <w:tcBorders>
          <w:top w:val="single" w:color="8064A2" w:sz="8" w:space="0"/>
          <w:left w:val="single" w:color="8064A2" w:sz="8" w:space="0"/>
          <w:bottom w:val="single" w:color="8064A2" w:sz="8" w:space="0"/>
          <w:right w:val="single" w:color="8064A2" w:sz="8" w:space="0"/>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V w:val="single" w:sz="8" w:space="0"/>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V w:val="single" w:sz="8" w:space="0"/>
        </w:tcBorders>
      </w:tcPr>
    </w:tblStylePr>
  </w:style>
  <w:style w:type="table" w:styleId="170">
    <w:name w:val="Light Grid Accent 5"/>
    <w:basedOn w:val="12"/>
    <w:qFormat/>
    <w:uiPriority w:val="62"/>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cs="Times New Roman"/>
        <w:b/>
        <w:bCs/>
      </w:rPr>
      <w:tblPr/>
      <w:tcPr>
        <w:tcBorders>
          <w:top w:val="single" w:color="4BACC6" w:sz="8" w:space="0"/>
          <w:left w:val="single" w:color="4BACC6" w:sz="18" w:space="0"/>
          <w:bottom w:val="single" w:color="4BACC6" w:sz="8" w:space="0"/>
          <w:right w:val="single" w:color="4BACC6" w:sz="8" w:space="0"/>
          <w:insideH w:val="nil"/>
          <w:insideV w:val="single" w:sz="8" w:space="0"/>
        </w:tcBorders>
      </w:tcPr>
    </w:tblStylePr>
    <w:tblStylePr w:type="lastRow">
      <w:pPr>
        <w:spacing w:before="0" w:after="0" w:line="240" w:lineRule="auto"/>
      </w:pPr>
      <w:rPr>
        <w:rFonts w:cs="Times New Roman"/>
        <w:b/>
        <w:bCs/>
      </w:rPr>
      <w:tblPr/>
      <w:tcPr>
        <w:tcBorders>
          <w:top w:val="double" w:color="4BACC6" w:sz="6" w:space="0"/>
          <w:left w:val="single" w:color="4BACC6" w:sz="8" w:space="0"/>
          <w:bottom w:val="single" w:color="4BACC6" w:sz="8" w:space="0"/>
          <w:right w:val="single" w:color="4BACC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sz="8" w:space="0"/>
        </w:tcBorders>
      </w:tcPr>
    </w:tblStylePr>
  </w:style>
  <w:style w:type="table" w:styleId="171">
    <w:name w:val="Light Grid Accent 6"/>
    <w:basedOn w:val="12"/>
    <w:qFormat/>
    <w:uiPriority w:val="62"/>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cs="Times New Roman"/>
        <w:b/>
        <w:bCs/>
      </w:rPr>
      <w:tblPr/>
      <w:tcPr>
        <w:tcBorders>
          <w:top w:val="single" w:color="F79646" w:sz="8" w:space="0"/>
          <w:left w:val="single" w:color="F79646" w:sz="18" w:space="0"/>
          <w:bottom w:val="single" w:color="F79646" w:sz="8" w:space="0"/>
          <w:right w:val="single" w:color="F79646" w:sz="8" w:space="0"/>
          <w:insideH w:val="nil"/>
          <w:insideV w:val="single" w:sz="8" w:space="0"/>
        </w:tcBorders>
      </w:tcPr>
    </w:tblStylePr>
    <w:tblStylePr w:type="lastRow">
      <w:pPr>
        <w:spacing w:before="0" w:after="0" w:line="240" w:lineRule="auto"/>
      </w:pPr>
      <w:rPr>
        <w:rFonts w:cs="Times New Roman"/>
        <w:b/>
        <w:bCs/>
      </w:rPr>
      <w:tblPr/>
      <w:tcPr>
        <w:tcBorders>
          <w:top w:val="double" w:color="F79646" w:sz="6" w:space="0"/>
          <w:left w:val="single" w:color="F79646" w:sz="8" w:space="0"/>
          <w:bottom w:val="single" w:color="F79646" w:sz="8" w:space="0"/>
          <w:right w:val="single" w:color="F7964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F79646" w:sz="8" w:space="0"/>
          <w:left w:val="single" w:color="F79646" w:sz="8" w:space="0"/>
          <w:bottom w:val="single" w:color="F79646" w:sz="8" w:space="0"/>
          <w:right w:val="single" w:color="F79646" w:sz="8" w:space="0"/>
        </w:tcBorders>
      </w:tcPr>
    </w:tblStylePr>
    <w:tblStylePr w:type="band1Vert">
      <w:tblPr/>
      <w:tcPr>
        <w:tcBorders>
          <w:top w:val="single" w:color="F79646" w:sz="8" w:space="0"/>
          <w:left w:val="single" w:color="F79646" w:sz="8" w:space="0"/>
          <w:bottom w:val="single" w:color="F79646" w:sz="8" w:space="0"/>
          <w:right w:val="single" w:color="F79646" w:sz="8" w:space="0"/>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V w:val="single" w:sz="8" w:space="0"/>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V w:val="single" w:sz="8" w:space="0"/>
        </w:tcBorders>
      </w:tcPr>
    </w:tblStylePr>
  </w:style>
  <w:style w:type="table" w:styleId="172">
    <w:name w:val="Medium Shading 1"/>
    <w:basedOn w:val="12"/>
    <w:qFormat/>
    <w:uiPriority w:val="63"/>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73">
    <w:name w:val="Medium Shading 1 Accent 1"/>
    <w:basedOn w:val="12"/>
    <w:qFormat/>
    <w:uiPriority w:val="63"/>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174">
    <w:name w:val="Medium Shading 1 Accent 2"/>
    <w:basedOn w:val="12"/>
    <w:qFormat/>
    <w:uiPriority w:val="63"/>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bl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175">
    <w:name w:val="Medium Shading 1 Accent 3"/>
    <w:basedOn w:val="12"/>
    <w:qFormat/>
    <w:uiPriority w:val="63"/>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bl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76">
    <w:name w:val="Medium Shading 1 Accent 4"/>
    <w:basedOn w:val="12"/>
    <w:qFormat/>
    <w:uiPriority w:val="63"/>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bl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177">
    <w:name w:val="Medium Shading 1 Accent 5"/>
    <w:basedOn w:val="12"/>
    <w:qFormat/>
    <w:uiPriority w:val="63"/>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bl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178">
    <w:name w:val="Medium Shading 1 Accent 6"/>
    <w:basedOn w:val="12"/>
    <w:qFormat/>
    <w:uiPriority w:val="63"/>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179">
    <w:name w:val="Medium Shading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000000"/>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000000"/>
      </w:tcPr>
    </w:tblStylePr>
    <w:tblStylePr w:type="lastCol">
      <w:rPr>
        <w:b/>
        <w:bCs/>
        <w:color w:val="FFFFFF"/>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0">
    <w:name w:val="Medium Shading 2 Accent 1"/>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F81B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F81BD"/>
      </w:tcPr>
    </w:tblStylePr>
    <w:tblStylePr w:type="lastCol">
      <w:rPr>
        <w:b/>
        <w:bCs/>
        <w:color w:val="FFFFFF"/>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1">
    <w:name w:val="Medium Shading 2 Accent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C0504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C0504D"/>
      </w:tcPr>
    </w:tblStylePr>
    <w:tblStylePr w:type="lastCol">
      <w:rPr>
        <w:b/>
        <w:bCs/>
        <w:color w:val="FFFFFF"/>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2">
    <w:name w:val="Medium Shading 2 Accent 3"/>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9BBB59"/>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9BBB59"/>
      </w:tcPr>
    </w:tblStylePr>
    <w:tblStylePr w:type="lastCol">
      <w:rPr>
        <w:b/>
        <w:bCs/>
        <w:color w:val="FFFFFF"/>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3">
    <w:name w:val="Medium Shading 2 Accent 4"/>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8064A2"/>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8064A2"/>
      </w:tcPr>
    </w:tblStylePr>
    <w:tblStylePr w:type="lastCol">
      <w:rPr>
        <w:b/>
        <w:bCs/>
        <w:color w:val="FFFFFF"/>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4">
    <w:name w:val="Medium Shading 2 Accent 5"/>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BACC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BACC6"/>
      </w:tcPr>
    </w:tblStylePr>
    <w:tblStylePr w:type="lastCol">
      <w:rPr>
        <w:b/>
        <w:bCs/>
        <w:color w:val="FFFFFF"/>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5">
    <w:name w:val="Medium Shading 2 Accent 6"/>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F7964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F79646"/>
      </w:tcPr>
    </w:tblStylePr>
    <w:tblStylePr w:type="lastCol">
      <w:rPr>
        <w:b/>
        <w:bCs/>
        <w:color w:val="FFFFFF"/>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6">
    <w:name w:val="Medium List 1"/>
    <w:basedOn w:val="12"/>
    <w:qFormat/>
    <w:uiPriority w:val="65"/>
    <w:rPr>
      <w:color w:val="000000"/>
    </w:rPr>
    <w:tblPr>
      <w:tblBorders>
        <w:top w:val="single" w:color="000000" w:sz="8" w:space="0"/>
        <w:bottom w:val="single" w:color="000000" w:sz="8" w:space="0"/>
      </w:tblBorders>
    </w:tblPr>
    <w:tblStylePr w:type="firstRow">
      <w:rPr>
        <w:rFonts w:cs="Times New Roman"/>
      </w:rPr>
      <w:tblPr/>
      <w:tcPr>
        <w:tcBorders>
          <w:top w:val="nil"/>
          <w:left w:val="single" w:color="000000" w:sz="8" w:space="0"/>
        </w:tcBorders>
      </w:tcPr>
    </w:tblStylePr>
    <w:tblStylePr w:type="lastRow">
      <w:rPr>
        <w:b/>
        <w:bCs/>
        <w:color w:val="1F497D"/>
      </w:rPr>
      <w:tblPr/>
      <w:tcPr>
        <w:tcBorders>
          <w:top w:val="single" w:color="000000" w:sz="8" w:space="0"/>
          <w:left w:val="single" w:color="000000" w:sz="8" w:space="0"/>
        </w:tcBorders>
      </w:tcPr>
    </w:tblStylePr>
    <w:tblStylePr w:type="firstCol">
      <w:rPr>
        <w:b/>
        <w:bCs/>
      </w:rPr>
    </w:tblStylePr>
    <w:tblStylePr w:type="lastCol">
      <w:rPr>
        <w:b/>
        <w:bCs/>
      </w:rPr>
      <w:tblPr/>
      <w:tcPr>
        <w:tcBorders>
          <w:top w:val="single" w:color="000000" w:sz="8" w:space="0"/>
          <w:left w:val="single" w:color="000000" w:sz="8" w:space="0"/>
        </w:tcBorders>
      </w:tcPr>
    </w:tblStylePr>
    <w:tblStylePr w:type="band1Vert">
      <w:tblPr/>
      <w:tcPr>
        <w:shd w:val="clear" w:color="auto" w:fill="C0C0C0"/>
      </w:tcPr>
    </w:tblStylePr>
    <w:tblStylePr w:type="band1Horz">
      <w:tblPr/>
      <w:tcPr>
        <w:shd w:val="clear" w:color="auto" w:fill="C0C0C0"/>
      </w:tcPr>
    </w:tblStylePr>
  </w:style>
  <w:style w:type="table" w:styleId="187">
    <w:name w:val="Medium List 1 Accent 1"/>
    <w:basedOn w:val="12"/>
    <w:qFormat/>
    <w:uiPriority w:val="65"/>
    <w:rPr>
      <w:color w:val="000000"/>
    </w:rPr>
    <w:tblPr>
      <w:tblBorders>
        <w:top w:val="single" w:color="4F81BD" w:sz="8" w:space="0"/>
        <w:bottom w:val="single" w:color="4F81BD" w:sz="8" w:space="0"/>
      </w:tblBorders>
    </w:tblPr>
    <w:tblStylePr w:type="firstRow">
      <w:rPr>
        <w:rFonts w:cs="Times New Roman"/>
      </w:rPr>
      <w:tblPr/>
      <w:tcPr>
        <w:tcBorders>
          <w:top w:val="nil"/>
          <w:left w:val="single" w:color="4F81BD" w:sz="8" w:space="0"/>
        </w:tcBorders>
      </w:tcPr>
    </w:tblStylePr>
    <w:tblStylePr w:type="lastRow">
      <w:rPr>
        <w:b/>
        <w:bCs/>
        <w:color w:val="1F497D"/>
      </w:rPr>
      <w:tblPr/>
      <w:tcPr>
        <w:tcBorders>
          <w:top w:val="single" w:color="4F81BD" w:sz="8" w:space="0"/>
          <w:left w:val="single" w:color="4F81BD" w:sz="8" w:space="0"/>
        </w:tcBorders>
      </w:tcPr>
    </w:tblStylePr>
    <w:tblStylePr w:type="firstCol">
      <w:rPr>
        <w:b/>
        <w:bCs/>
      </w:rPr>
    </w:tblStylePr>
    <w:tblStylePr w:type="lastCol">
      <w:rPr>
        <w:b/>
        <w:bCs/>
      </w:rPr>
      <w:tblPr/>
      <w:tcPr>
        <w:tcBorders>
          <w:top w:val="single" w:color="4F81BD" w:sz="8" w:space="0"/>
          <w:left w:val="single" w:color="4F81BD" w:sz="8" w:space="0"/>
        </w:tcBorders>
      </w:tcPr>
    </w:tblStylePr>
    <w:tblStylePr w:type="band1Vert">
      <w:tblPr/>
      <w:tcPr>
        <w:shd w:val="clear" w:color="auto" w:fill="D3DFEE"/>
      </w:tcPr>
    </w:tblStylePr>
    <w:tblStylePr w:type="band1Horz">
      <w:tblPr/>
      <w:tcPr>
        <w:shd w:val="clear" w:color="auto" w:fill="D3DFEE"/>
      </w:tcPr>
    </w:tblStylePr>
  </w:style>
  <w:style w:type="table" w:styleId="188">
    <w:name w:val="Medium List 1 Accent 2"/>
    <w:basedOn w:val="12"/>
    <w:qFormat/>
    <w:uiPriority w:val="65"/>
    <w:rPr>
      <w:color w:val="000000"/>
    </w:rPr>
    <w:tblPr>
      <w:tblBorders>
        <w:top w:val="single" w:color="C0504D" w:sz="8" w:space="0"/>
        <w:bottom w:val="single" w:color="C0504D" w:sz="8" w:space="0"/>
      </w:tblBorders>
    </w:tblPr>
    <w:tblStylePr w:type="firstRow">
      <w:rPr>
        <w:rFonts w:cs="Times New Roman"/>
      </w:rPr>
      <w:tblPr/>
      <w:tcPr>
        <w:tcBorders>
          <w:top w:val="nil"/>
          <w:left w:val="single" w:color="C0504D" w:sz="8" w:space="0"/>
        </w:tcBorders>
      </w:tcPr>
    </w:tblStylePr>
    <w:tblStylePr w:type="lastRow">
      <w:rPr>
        <w:b/>
        <w:bCs/>
        <w:color w:val="1F497D"/>
      </w:rPr>
      <w:tblPr/>
      <w:tcPr>
        <w:tcBorders>
          <w:top w:val="single" w:color="C0504D" w:sz="8" w:space="0"/>
          <w:left w:val="single" w:color="C0504D" w:sz="8" w:space="0"/>
        </w:tcBorders>
      </w:tcPr>
    </w:tblStylePr>
    <w:tblStylePr w:type="firstCol">
      <w:rPr>
        <w:b/>
        <w:bCs/>
      </w:rPr>
    </w:tblStylePr>
    <w:tblStylePr w:type="lastCol">
      <w:rPr>
        <w:b/>
        <w:bCs/>
      </w:rPr>
      <w:tblPr/>
      <w:tcPr>
        <w:tcBorders>
          <w:top w:val="single" w:color="C0504D" w:sz="8" w:space="0"/>
          <w:left w:val="single" w:color="C0504D" w:sz="8" w:space="0"/>
        </w:tcBorders>
      </w:tcPr>
    </w:tblStylePr>
    <w:tblStylePr w:type="band1Vert">
      <w:tblPr/>
      <w:tcPr>
        <w:shd w:val="clear" w:color="auto" w:fill="EFD3D2"/>
      </w:tcPr>
    </w:tblStylePr>
    <w:tblStylePr w:type="band1Horz">
      <w:tblPr/>
      <w:tcPr>
        <w:shd w:val="clear" w:color="auto" w:fill="EFD3D2"/>
      </w:tcPr>
    </w:tblStylePr>
  </w:style>
  <w:style w:type="table" w:styleId="189">
    <w:name w:val="Medium List 1 Accent 3"/>
    <w:basedOn w:val="12"/>
    <w:qFormat/>
    <w:uiPriority w:val="65"/>
    <w:rPr>
      <w:color w:val="000000"/>
    </w:rPr>
    <w:tblPr>
      <w:tblBorders>
        <w:top w:val="single" w:color="9BBB59" w:sz="8" w:space="0"/>
        <w:bottom w:val="single" w:color="9BBB59" w:sz="8" w:space="0"/>
      </w:tblBorders>
    </w:tblPr>
    <w:tblStylePr w:type="firstRow">
      <w:rPr>
        <w:rFonts w:cs="Times New Roman"/>
      </w:rPr>
      <w:tblPr/>
      <w:tcPr>
        <w:tcBorders>
          <w:top w:val="nil"/>
          <w:left w:val="single" w:color="9BBB59" w:sz="8" w:space="0"/>
        </w:tcBorders>
      </w:tcPr>
    </w:tblStylePr>
    <w:tblStylePr w:type="lastRow">
      <w:rPr>
        <w:b/>
        <w:bCs/>
        <w:color w:val="1F497D"/>
      </w:rPr>
      <w:tblPr/>
      <w:tcPr>
        <w:tcBorders>
          <w:top w:val="single" w:color="9BBB59" w:sz="8" w:space="0"/>
          <w:left w:val="single" w:color="9BBB59" w:sz="8" w:space="0"/>
        </w:tcBorders>
      </w:tcPr>
    </w:tblStylePr>
    <w:tblStylePr w:type="firstCol">
      <w:rPr>
        <w:b/>
        <w:bCs/>
      </w:rPr>
    </w:tblStylePr>
    <w:tblStylePr w:type="lastCol">
      <w:rPr>
        <w:b/>
        <w:bCs/>
      </w:rPr>
      <w:tblPr/>
      <w:tcPr>
        <w:tcBorders>
          <w:top w:val="single" w:color="9BBB59" w:sz="8" w:space="0"/>
          <w:left w:val="single" w:color="9BBB59" w:sz="8" w:space="0"/>
        </w:tcBorders>
      </w:tcPr>
    </w:tblStylePr>
    <w:tblStylePr w:type="band1Vert">
      <w:tblPr/>
      <w:tcPr>
        <w:shd w:val="clear" w:color="auto" w:fill="E6EED5"/>
      </w:tcPr>
    </w:tblStylePr>
    <w:tblStylePr w:type="band1Horz">
      <w:tblPr/>
      <w:tcPr>
        <w:shd w:val="clear" w:color="auto" w:fill="E6EED5"/>
      </w:tcPr>
    </w:tblStylePr>
  </w:style>
  <w:style w:type="table" w:styleId="190">
    <w:name w:val="Medium List 1 Accent 4"/>
    <w:basedOn w:val="12"/>
    <w:qFormat/>
    <w:uiPriority w:val="65"/>
    <w:rPr>
      <w:color w:val="000000"/>
    </w:rPr>
    <w:tblPr>
      <w:tblBorders>
        <w:top w:val="single" w:color="8064A2" w:sz="8" w:space="0"/>
        <w:bottom w:val="single" w:color="8064A2" w:sz="8" w:space="0"/>
      </w:tblBorders>
    </w:tblPr>
    <w:tblStylePr w:type="firstRow">
      <w:rPr>
        <w:rFonts w:cs="Times New Roman"/>
      </w:rPr>
      <w:tblPr/>
      <w:tcPr>
        <w:tcBorders>
          <w:top w:val="nil"/>
          <w:left w:val="single" w:color="8064A2" w:sz="8" w:space="0"/>
        </w:tcBorders>
      </w:tcPr>
    </w:tblStylePr>
    <w:tblStylePr w:type="lastRow">
      <w:rPr>
        <w:b/>
        <w:bCs/>
        <w:color w:val="1F497D"/>
      </w:rPr>
      <w:tblPr/>
      <w:tcPr>
        <w:tcBorders>
          <w:top w:val="single" w:color="8064A2" w:sz="8" w:space="0"/>
          <w:left w:val="single" w:color="8064A2" w:sz="8" w:space="0"/>
        </w:tcBorders>
      </w:tcPr>
    </w:tblStylePr>
    <w:tblStylePr w:type="firstCol">
      <w:rPr>
        <w:b/>
        <w:bCs/>
      </w:rPr>
    </w:tblStylePr>
    <w:tblStylePr w:type="lastCol">
      <w:rPr>
        <w:b/>
        <w:bCs/>
      </w:rPr>
      <w:tblPr/>
      <w:tcPr>
        <w:tcBorders>
          <w:top w:val="single" w:color="8064A2" w:sz="8" w:space="0"/>
          <w:left w:val="single" w:color="8064A2" w:sz="8" w:space="0"/>
        </w:tcBorders>
      </w:tcPr>
    </w:tblStylePr>
    <w:tblStylePr w:type="band1Vert">
      <w:tblPr/>
      <w:tcPr>
        <w:shd w:val="clear" w:color="auto" w:fill="DFD8E8"/>
      </w:tcPr>
    </w:tblStylePr>
    <w:tblStylePr w:type="band1Horz">
      <w:tblPr/>
      <w:tcPr>
        <w:shd w:val="clear" w:color="auto" w:fill="DFD8E8"/>
      </w:tcPr>
    </w:tblStylePr>
  </w:style>
  <w:style w:type="table" w:styleId="191">
    <w:name w:val="Medium List 1 Accent 5"/>
    <w:basedOn w:val="12"/>
    <w:qFormat/>
    <w:uiPriority w:val="65"/>
    <w:rPr>
      <w:color w:val="000000"/>
    </w:rPr>
    <w:tblPr>
      <w:tblBorders>
        <w:top w:val="single" w:color="4BACC6" w:sz="8" w:space="0"/>
        <w:bottom w:val="single" w:color="4BACC6" w:sz="8" w:space="0"/>
      </w:tblBorders>
    </w:tblPr>
    <w:tblStylePr w:type="firstRow">
      <w:rPr>
        <w:rFonts w:cs="Times New Roman"/>
      </w:rPr>
      <w:tblPr/>
      <w:tcPr>
        <w:tcBorders>
          <w:top w:val="nil"/>
          <w:left w:val="single" w:color="4BACC6" w:sz="8" w:space="0"/>
        </w:tcBorders>
      </w:tcPr>
    </w:tblStylePr>
    <w:tblStylePr w:type="lastRow">
      <w:rPr>
        <w:b/>
        <w:bCs/>
        <w:color w:val="1F497D"/>
      </w:rPr>
      <w:tblPr/>
      <w:tcPr>
        <w:tcBorders>
          <w:top w:val="single" w:color="4BACC6" w:sz="8" w:space="0"/>
          <w:left w:val="single" w:color="4BACC6" w:sz="8" w:space="0"/>
        </w:tcBorders>
      </w:tcPr>
    </w:tblStylePr>
    <w:tblStylePr w:type="firstCol">
      <w:rPr>
        <w:b/>
        <w:bCs/>
      </w:rPr>
    </w:tblStylePr>
    <w:tblStylePr w:type="lastCol">
      <w:rPr>
        <w:b/>
        <w:bCs/>
      </w:rPr>
      <w:tblPr/>
      <w:tcPr>
        <w:tcBorders>
          <w:top w:val="single" w:color="4BACC6" w:sz="8" w:space="0"/>
          <w:left w:val="single" w:color="4BACC6" w:sz="8" w:space="0"/>
        </w:tcBorders>
      </w:tcPr>
    </w:tblStylePr>
    <w:tblStylePr w:type="band1Vert">
      <w:tblPr/>
      <w:tcPr>
        <w:shd w:val="clear" w:color="auto" w:fill="D2EAF1"/>
      </w:tcPr>
    </w:tblStylePr>
    <w:tblStylePr w:type="band1Horz">
      <w:tblPr/>
      <w:tcPr>
        <w:shd w:val="clear" w:color="auto" w:fill="D2EAF1"/>
      </w:tcPr>
    </w:tblStylePr>
  </w:style>
  <w:style w:type="table" w:styleId="192">
    <w:name w:val="Medium List 1 Accent 6"/>
    <w:basedOn w:val="12"/>
    <w:qFormat/>
    <w:uiPriority w:val="65"/>
    <w:rPr>
      <w:color w:val="000000"/>
    </w:rPr>
    <w:tblPr>
      <w:tblBorders>
        <w:top w:val="single" w:color="F79646" w:sz="8" w:space="0"/>
        <w:bottom w:val="single" w:color="F79646" w:sz="8" w:space="0"/>
      </w:tblBorders>
    </w:tblPr>
    <w:tblStylePr w:type="firstRow">
      <w:rPr>
        <w:rFonts w:cs="Times New Roman"/>
      </w:rPr>
      <w:tblPr/>
      <w:tcPr>
        <w:tcBorders>
          <w:top w:val="nil"/>
          <w:left w:val="single" w:color="F79646" w:sz="8" w:space="0"/>
        </w:tcBorders>
      </w:tcPr>
    </w:tblStylePr>
    <w:tblStylePr w:type="lastRow">
      <w:rPr>
        <w:b/>
        <w:bCs/>
        <w:color w:val="1F497D"/>
      </w:rPr>
      <w:tblPr/>
      <w:tcPr>
        <w:tcBorders>
          <w:top w:val="single" w:color="F79646" w:sz="8" w:space="0"/>
          <w:left w:val="single" w:color="F79646" w:sz="8" w:space="0"/>
        </w:tcBorders>
      </w:tcPr>
    </w:tblStylePr>
    <w:tblStylePr w:type="firstCol">
      <w:rPr>
        <w:b/>
        <w:bCs/>
      </w:rPr>
    </w:tblStylePr>
    <w:tblStylePr w:type="lastCol">
      <w:rPr>
        <w:b/>
        <w:bCs/>
      </w:rPr>
      <w:tblPr/>
      <w:tcPr>
        <w:tcBorders>
          <w:top w:val="single" w:color="F79646" w:sz="8" w:space="0"/>
          <w:left w:val="single" w:color="F79646" w:sz="8" w:space="0"/>
        </w:tcBorders>
      </w:tcPr>
    </w:tblStylePr>
    <w:tblStylePr w:type="band1Vert">
      <w:tblPr/>
      <w:tcPr>
        <w:shd w:val="clear" w:color="auto" w:fill="FDE4D0"/>
      </w:tcPr>
    </w:tblStylePr>
    <w:tblStylePr w:type="band1Horz">
      <w:tblPr/>
      <w:tcPr>
        <w:shd w:val="clear" w:color="auto" w:fill="FDE4D0"/>
      </w:tcPr>
    </w:tblStylePr>
  </w:style>
  <w:style w:type="table" w:styleId="193">
    <w:name w:val="Medium List 2"/>
    <w:basedOn w:val="12"/>
    <w:qFormat/>
    <w:uiPriority w:val="66"/>
    <w:rPr>
      <w:rFonts w:ascii="SimSun" w:hAnsi="SimSun" w:eastAsia="Courier New"/>
      <w:color w:val="000000"/>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blPr/>
      <w:tcPr>
        <w:tcBorders>
          <w:top w:val="nil"/>
          <w:left w:val="single" w:color="000000" w:sz="24" w:space="0"/>
          <w:bottom w:val="nil"/>
          <w:right w:val="nil"/>
          <w:insideH w:val="nil"/>
          <w:insideV w:val="nil"/>
        </w:tcBorders>
        <w:shd w:val="clear" w:color="auto" w:fill="FFFFFF"/>
      </w:tcPr>
    </w:tblStylePr>
    <w:tblStylePr w:type="lastRow">
      <w:tblPr/>
      <w:tcPr>
        <w:tcBorders>
          <w:top w:val="single" w:color="000000"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sz="8" w:space="0"/>
          <w:insideH w:val="nil"/>
          <w:insideV w:val="nil"/>
        </w:tcBorders>
        <w:shd w:val="clear" w:color="auto" w:fill="FFFFFF"/>
      </w:tcPr>
    </w:tblStylePr>
    <w:tblStylePr w:type="lastCol">
      <w:tblPr/>
      <w:tcPr>
        <w:tcBorders>
          <w:top w:val="nil"/>
          <w:left w:val="nil"/>
          <w:bottom w:val="single" w:color="000000"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194">
    <w:name w:val="Medium List 2 Accent 1"/>
    <w:basedOn w:val="12"/>
    <w:qFormat/>
    <w:uiPriority w:val="66"/>
    <w:rPr>
      <w:rFonts w:ascii="SimSun" w:hAnsi="SimSun" w:eastAsia="Courier New"/>
      <w:color w:val="000000"/>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single" w:color="4F81BD" w:sz="24" w:space="0"/>
          <w:bottom w:val="nil"/>
          <w:right w:val="nil"/>
          <w:insideH w:val="nil"/>
          <w:insideV w:val="nil"/>
        </w:tcBorders>
        <w:shd w:val="clear" w:color="auto" w:fill="FFFFFF"/>
      </w:tcPr>
    </w:tblStylePr>
    <w:tblStylePr w:type="lastRow">
      <w:tblPr/>
      <w:tcPr>
        <w:tcBorders>
          <w:top w:val="single" w:color="4F81BD"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sz="8" w:space="0"/>
          <w:insideH w:val="nil"/>
          <w:insideV w:val="nil"/>
        </w:tcBorders>
        <w:shd w:val="clear" w:color="auto" w:fill="FFFFFF"/>
      </w:tcPr>
    </w:tblStylePr>
    <w:tblStylePr w:type="lastCol">
      <w:tblPr/>
      <w:tcPr>
        <w:tcBorders>
          <w:top w:val="nil"/>
          <w:left w:val="nil"/>
          <w:bottom w:val="single" w:color="4F81B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195">
    <w:name w:val="Medium List 2 Accent 2"/>
    <w:basedOn w:val="12"/>
    <w:qFormat/>
    <w:uiPriority w:val="66"/>
    <w:rPr>
      <w:rFonts w:ascii="SimSun" w:hAnsi="SimSun" w:eastAsia="Courier New"/>
      <w:color w:val="000000"/>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single" w:color="C0504D" w:sz="24" w:space="0"/>
          <w:bottom w:val="nil"/>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nil"/>
          <w:bottom w:val="single" w:color="C0504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196">
    <w:name w:val="Medium List 2 Accent 3"/>
    <w:basedOn w:val="12"/>
    <w:qFormat/>
    <w:uiPriority w:val="66"/>
    <w:rPr>
      <w:rFonts w:ascii="SimSun" w:hAnsi="SimSun" w:eastAsia="Courier New"/>
      <w:color w:val="000000"/>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single" w:color="9BBB59" w:sz="24" w:space="0"/>
          <w:bottom w:val="nil"/>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nil"/>
          <w:bottom w:val="single" w:color="9BBB59"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197">
    <w:name w:val="Medium List 2 Accent 4"/>
    <w:basedOn w:val="12"/>
    <w:qFormat/>
    <w:uiPriority w:val="66"/>
    <w:rPr>
      <w:rFonts w:ascii="SimSun" w:hAnsi="SimSun" w:eastAsia="Courier New"/>
      <w:color w:val="000000"/>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single" w:color="8064A2" w:sz="24" w:space="0"/>
          <w:bottom w:val="nil"/>
          <w:right w:val="nil"/>
          <w:insideH w:val="nil"/>
          <w:insideV w:val="nil"/>
        </w:tcBorders>
        <w:shd w:val="clear" w:color="auto" w:fill="FFFFFF"/>
      </w:tcPr>
    </w:tblStylePr>
    <w:tblStylePr w:type="lastRow">
      <w:tblPr/>
      <w:tcPr>
        <w:tcBorders>
          <w:top w:val="single" w:color="8064A2"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sz="8" w:space="0"/>
          <w:insideH w:val="nil"/>
          <w:insideV w:val="nil"/>
        </w:tcBorders>
        <w:shd w:val="clear" w:color="auto" w:fill="FFFFFF"/>
      </w:tcPr>
    </w:tblStylePr>
    <w:tblStylePr w:type="lastCol">
      <w:tblPr/>
      <w:tcPr>
        <w:tcBorders>
          <w:top w:val="nil"/>
          <w:left w:val="nil"/>
          <w:bottom w:val="single" w:color="8064A2"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198">
    <w:name w:val="Medium List 2 Accent 5"/>
    <w:basedOn w:val="12"/>
    <w:qFormat/>
    <w:uiPriority w:val="66"/>
    <w:rPr>
      <w:rFonts w:ascii="SimSun" w:hAnsi="SimSun" w:eastAsia="Courier New"/>
      <w:color w:val="000000"/>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single" w:color="4BACC6" w:sz="24" w:space="0"/>
          <w:bottom w:val="nil"/>
          <w:right w:val="nil"/>
          <w:insideH w:val="nil"/>
          <w:insideV w:val="nil"/>
        </w:tcBorders>
        <w:shd w:val="clear" w:color="auto" w:fill="FFFFFF"/>
      </w:tcPr>
    </w:tblStylePr>
    <w:tblStylePr w:type="lastRow">
      <w:tblPr/>
      <w:tcPr>
        <w:tcBorders>
          <w:top w:val="single" w:color="4BACC6"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sz="8" w:space="0"/>
          <w:insideH w:val="nil"/>
          <w:insideV w:val="nil"/>
        </w:tcBorders>
        <w:shd w:val="clear" w:color="auto" w:fill="FFFFFF"/>
      </w:tcPr>
    </w:tblStylePr>
    <w:tblStylePr w:type="lastCol">
      <w:tblPr/>
      <w:tcPr>
        <w:tcBorders>
          <w:top w:val="nil"/>
          <w:left w:val="nil"/>
          <w:bottom w:val="single" w:color="4BACC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99">
    <w:name w:val="Medium List 2 Accent 6"/>
    <w:basedOn w:val="12"/>
    <w:qFormat/>
    <w:uiPriority w:val="66"/>
    <w:rPr>
      <w:rFonts w:ascii="SimSun" w:hAnsi="SimSun" w:eastAsia="Courier New"/>
      <w:color w:val="000000"/>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single" w:color="F79646" w:sz="24" w:space="0"/>
          <w:bottom w:val="nil"/>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nil"/>
          <w:bottom w:val="single" w:color="F7964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00">
    <w:name w:val="Medium Grid 1"/>
    <w:basedOn w:val="12"/>
    <w:qFormat/>
    <w:uiPriority w:val="67"/>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StylePr>
    <w:tblStylePr w:type="lastRow">
      <w:rPr>
        <w:b/>
        <w:bCs/>
      </w:rPr>
      <w:tblPr/>
      <w:tcPr>
        <w:tcBorders>
          <w:top w:val="single" w:color="404040" w:sz="18" w:space="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201">
    <w:name w:val="Medium Grid 1 Accent 1"/>
    <w:basedOn w:val="12"/>
    <w:qFormat/>
    <w:uiPriority w:val="67"/>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StylePr>
    <w:tblStylePr w:type="lastRow">
      <w:rPr>
        <w:b/>
        <w:bCs/>
      </w:rPr>
      <w:tblPr/>
      <w:tcPr>
        <w:tcBorders>
          <w:top w:val="single" w:color="7BA0CD" w:sz="18" w:space="0"/>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202">
    <w:name w:val="Medium Grid 1 Accent 2"/>
    <w:basedOn w:val="12"/>
    <w:qFormat/>
    <w:uiPriority w:val="67"/>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StylePr>
    <w:tblStylePr w:type="lastRow">
      <w:rPr>
        <w:b/>
        <w:bCs/>
      </w:rPr>
      <w:tblPr/>
      <w:tcPr>
        <w:tcBorders>
          <w:top w:val="single" w:color="CF7B79" w:sz="18" w:space="0"/>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203">
    <w:name w:val="Medium Grid 1 Accent 3"/>
    <w:basedOn w:val="12"/>
    <w:qFormat/>
    <w:uiPriority w:val="67"/>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204">
    <w:name w:val="Medium Grid 1 Accent 4"/>
    <w:basedOn w:val="12"/>
    <w:qFormat/>
    <w:uiPriority w:val="67"/>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StylePr>
    <w:tblStylePr w:type="lastRow">
      <w:rPr>
        <w:b/>
        <w:bCs/>
      </w:rPr>
      <w:tblPr/>
      <w:tcPr>
        <w:tcBorders>
          <w:top w:val="single" w:color="9F8AB9" w:sz="18" w:space="0"/>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205">
    <w:name w:val="Medium Grid 1 Accent 5"/>
    <w:basedOn w:val="12"/>
    <w:qFormat/>
    <w:uiPriority w:val="67"/>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StylePr>
    <w:tblStylePr w:type="lastRow">
      <w:rPr>
        <w:b/>
        <w:bCs/>
      </w:rPr>
      <w:tblPr/>
      <w:tcPr>
        <w:tcBorders>
          <w:top w:val="single" w:color="78C0D4" w:sz="18" w:space="0"/>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206">
    <w:name w:val="Medium Grid 1 Accent 6"/>
    <w:basedOn w:val="12"/>
    <w:qFormat/>
    <w:uiPriority w:val="67"/>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cPr>
        <w:tcBorders>
          <w:top w:val="single" w:color="F9B074" w:sz="18" w:space="0"/>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07">
    <w:name w:val="Medium Grid 2"/>
    <w:basedOn w:val="12"/>
    <w:qFormat/>
    <w:uiPriority w:val="68"/>
    <w:rPr>
      <w:rFonts w:ascii="SimSun" w:hAnsi="SimSun" w:eastAsia="Courier New"/>
      <w:color w:val="00000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insideV w:val="single" w:sz="6" w:space="0"/>
        </w:tcBorders>
        <w:shd w:val="clear" w:color="auto" w:fill="808080"/>
      </w:tcPr>
    </w:tblStylePr>
    <w:tblStylePr w:type="nwCell">
      <w:tblPr/>
      <w:tcPr>
        <w:shd w:val="clear" w:color="auto" w:fill="FFFFFF"/>
      </w:tcPr>
    </w:tblStylePr>
  </w:style>
  <w:style w:type="table" w:styleId="208">
    <w:name w:val="Medium Grid 2 Accent 1"/>
    <w:basedOn w:val="12"/>
    <w:qFormat/>
    <w:uiPriority w:val="68"/>
    <w:rPr>
      <w:rFonts w:ascii="SimSun" w:hAnsi="SimSun" w:eastAsia="Courier New"/>
      <w:color w:val="000000"/>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insideV w:val="single" w:sz="6" w:space="0"/>
        </w:tcBorders>
        <w:shd w:val="clear" w:color="auto" w:fill="A7BFDE"/>
      </w:tcPr>
    </w:tblStylePr>
    <w:tblStylePr w:type="nwCell">
      <w:tblPr/>
      <w:tcPr>
        <w:shd w:val="clear" w:color="auto" w:fill="FFFFFF"/>
      </w:tcPr>
    </w:tblStylePr>
  </w:style>
  <w:style w:type="table" w:styleId="209">
    <w:name w:val="Medium Grid 2 Accent 2"/>
    <w:basedOn w:val="12"/>
    <w:qFormat/>
    <w:uiPriority w:val="68"/>
    <w:rPr>
      <w:rFonts w:ascii="SimSun" w:hAnsi="SimSun" w:eastAsia="Courier New"/>
      <w:color w:val="000000"/>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insideV w:val="single" w:sz="6" w:space="0"/>
        </w:tcBorders>
        <w:shd w:val="clear" w:color="auto" w:fill="DFA7A6"/>
      </w:tcPr>
    </w:tblStylePr>
    <w:tblStylePr w:type="nwCell">
      <w:tblPr/>
      <w:tcPr>
        <w:shd w:val="clear" w:color="auto" w:fill="FFFFFF"/>
      </w:tcPr>
    </w:tblStylePr>
  </w:style>
  <w:style w:type="table" w:styleId="210">
    <w:name w:val="Medium Grid 2 Accent 3"/>
    <w:basedOn w:val="12"/>
    <w:qFormat/>
    <w:uiPriority w:val="68"/>
    <w:rPr>
      <w:rFonts w:ascii="SimSun" w:hAnsi="SimSun" w:eastAsia="Courier New"/>
      <w:color w:val="000000"/>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insideV w:val="single" w:sz="6" w:space="0"/>
        </w:tcBorders>
        <w:shd w:val="clear" w:color="auto" w:fill="CDDDAC"/>
      </w:tcPr>
    </w:tblStylePr>
    <w:tblStylePr w:type="nwCell">
      <w:tblPr/>
      <w:tcPr>
        <w:shd w:val="clear" w:color="auto" w:fill="FFFFFF"/>
      </w:tcPr>
    </w:tblStylePr>
  </w:style>
  <w:style w:type="table" w:styleId="211">
    <w:name w:val="Medium Grid 2 Accent 4"/>
    <w:basedOn w:val="12"/>
    <w:qFormat/>
    <w:uiPriority w:val="68"/>
    <w:rPr>
      <w:rFonts w:ascii="SimSun" w:hAnsi="SimSun" w:eastAsia="Courier New"/>
      <w:color w:val="000000"/>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insideV w:val="single" w:sz="6" w:space="0"/>
        </w:tcBorders>
        <w:shd w:val="clear" w:color="auto" w:fill="BFB1D0"/>
      </w:tcPr>
    </w:tblStylePr>
    <w:tblStylePr w:type="nwCell">
      <w:tblPr/>
      <w:tcPr>
        <w:shd w:val="clear" w:color="auto" w:fill="FFFFFF"/>
      </w:tcPr>
    </w:tblStylePr>
  </w:style>
  <w:style w:type="table" w:styleId="212">
    <w:name w:val="Medium Grid 2 Accent 5"/>
    <w:basedOn w:val="12"/>
    <w:qFormat/>
    <w:uiPriority w:val="68"/>
    <w:rPr>
      <w:rFonts w:ascii="SimSun" w:hAnsi="SimSun" w:eastAsia="Courier New"/>
      <w:color w:val="000000"/>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insideV w:val="single" w:sz="6" w:space="0"/>
        </w:tcBorders>
        <w:shd w:val="clear" w:color="auto" w:fill="A5D5E2"/>
      </w:tcPr>
    </w:tblStylePr>
    <w:tblStylePr w:type="nwCell">
      <w:tblPr/>
      <w:tcPr>
        <w:shd w:val="clear" w:color="auto" w:fill="FFFFFF"/>
      </w:tcPr>
    </w:tblStylePr>
  </w:style>
  <w:style w:type="table" w:styleId="213">
    <w:name w:val="Medium Grid 2 Accent 6"/>
    <w:basedOn w:val="12"/>
    <w:qFormat/>
    <w:uiPriority w:val="68"/>
    <w:rPr>
      <w:rFonts w:ascii="SimSun" w:hAnsi="SimSun" w:eastAsia="Courier New"/>
      <w:color w:val="000000"/>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insideV w:val="single" w:sz="6" w:space="0"/>
        </w:tcBorders>
        <w:shd w:val="clear" w:color="auto" w:fill="FBCAA2"/>
      </w:tcPr>
    </w:tblStylePr>
    <w:tblStylePr w:type="nwCell">
      <w:tblPr/>
      <w:tcPr>
        <w:shd w:val="clear" w:color="auto" w:fill="FFFFFF"/>
      </w:tcPr>
    </w:tblStylePr>
  </w:style>
  <w:style w:type="table" w:styleId="214">
    <w:name w:val="Medium Grid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000000"/>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000000"/>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000000"/>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000000"/>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80808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808080"/>
      </w:tcPr>
    </w:tblStylePr>
  </w:style>
  <w:style w:type="table" w:styleId="215">
    <w:name w:val="Medium Grid 3 Accent 1"/>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F81B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styleId="216">
    <w:name w:val="Medium Grid 3 Accent 2"/>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C0504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C0504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C0504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DFA7A6"/>
      </w:tcPr>
    </w:tblStylePr>
  </w:style>
  <w:style w:type="table" w:styleId="217">
    <w:name w:val="Medium Grid 3 Accent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9BBB59"/>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styleId="218">
    <w:name w:val="Medium Grid 3 Accent 4"/>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8064A2"/>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8064A2"/>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8064A2"/>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BFB1D0"/>
      </w:tcPr>
    </w:tblStylePr>
  </w:style>
  <w:style w:type="table" w:styleId="219">
    <w:name w:val="Medium Grid 3 Accent 5"/>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BACC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BACC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BACC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5D5E2"/>
      </w:tcPr>
    </w:tblStylePr>
  </w:style>
  <w:style w:type="table" w:styleId="220">
    <w:name w:val="Medium Grid 3 Accent 6"/>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F7964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F7964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FBCAA2"/>
      </w:tcPr>
    </w:tblStylePr>
  </w:style>
  <w:style w:type="table" w:styleId="221">
    <w:name w:val="Dark List"/>
    <w:basedOn w:val="12"/>
    <w:qFormat/>
    <w:uiPriority w:val="70"/>
    <w:rPr>
      <w:color w:val="FFFFFF"/>
    </w:rPr>
    <w:tblPr>
      <w:tblStyleRowBandSize w:val="1"/>
      <w:tblStyleColBandSize w:val="1"/>
    </w:tblPr>
    <w:tcPr>
      <w:shd w:val="clear" w:color="auto" w:fill="000000"/>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sz="18" w:space="0"/>
          <w:insideH w:val="nil"/>
          <w:insideV w:val="nil"/>
        </w:tcBorders>
        <w:shd w:val="clear" w:color="auto" w:fill="000000"/>
      </w:tcPr>
    </w:tblStylePr>
    <w:tblStylePr w:type="lastCol">
      <w:tblPr/>
      <w:tcPr>
        <w:tcBorders>
          <w:top w:val="nil"/>
          <w:left w:val="nil"/>
          <w:bottom w:val="single" w:color="FFFFFF" w:sz="18" w:space="0"/>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222">
    <w:name w:val="Dark List Accent 1"/>
    <w:basedOn w:val="12"/>
    <w:qFormat/>
    <w:uiPriority w:val="70"/>
    <w:rPr>
      <w:color w:val="FFFFFF"/>
    </w:rPr>
    <w:tblPr>
      <w:tblStyleRowBandSize w:val="1"/>
      <w:tblStyleColBandSize w:val="1"/>
    </w:tblPr>
    <w:tcPr>
      <w:shd w:val="clear" w:color="auto" w:fill="4F81B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43F60"/>
      </w:tcPr>
    </w:tblStylePr>
    <w:tblStylePr w:type="firstCol">
      <w:tblPr/>
      <w:tcPr>
        <w:tcBorders>
          <w:top w:val="nil"/>
          <w:left w:val="nil"/>
          <w:bottom w:val="nil"/>
          <w:right w:val="single" w:color="FFFFFF" w:sz="18" w:space="0"/>
          <w:insideH w:val="nil"/>
          <w:insideV w:val="nil"/>
        </w:tcBorders>
        <w:shd w:val="clear" w:color="auto" w:fill="365F91"/>
      </w:tcPr>
    </w:tblStylePr>
    <w:tblStylePr w:type="lastCol">
      <w:tblPr/>
      <w:tcPr>
        <w:tcBorders>
          <w:top w:val="nil"/>
          <w:left w:val="nil"/>
          <w:bottom w:val="single" w:color="FFFFFF" w:sz="18" w:space="0"/>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223">
    <w:name w:val="Dark List Accent 2"/>
    <w:basedOn w:val="12"/>
    <w:qFormat/>
    <w:uiPriority w:val="70"/>
    <w:rPr>
      <w:color w:val="FFFFFF"/>
    </w:rPr>
    <w:tblPr>
      <w:tblStyleRowBandSize w:val="1"/>
      <w:tblStyleColBandSize w:val="1"/>
    </w:tblPr>
    <w:tcPr>
      <w:shd w:val="clear" w:color="auto" w:fill="C0504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622423"/>
      </w:tcPr>
    </w:tblStylePr>
    <w:tblStylePr w:type="firstCol">
      <w:tblPr/>
      <w:tcPr>
        <w:tcBorders>
          <w:top w:val="nil"/>
          <w:left w:val="nil"/>
          <w:bottom w:val="nil"/>
          <w:right w:val="single" w:color="FFFFFF" w:sz="18" w:space="0"/>
          <w:insideH w:val="nil"/>
          <w:insideV w:val="nil"/>
        </w:tcBorders>
        <w:shd w:val="clear" w:color="auto" w:fill="943634"/>
      </w:tcPr>
    </w:tblStylePr>
    <w:tblStylePr w:type="lastCol">
      <w:tblPr/>
      <w:tcPr>
        <w:tcBorders>
          <w:top w:val="nil"/>
          <w:left w:val="nil"/>
          <w:bottom w:val="single" w:color="FFFFFF" w:sz="18" w:space="0"/>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224">
    <w:name w:val="Dark List Accent 3"/>
    <w:basedOn w:val="12"/>
    <w:qFormat/>
    <w:uiPriority w:val="70"/>
    <w:rPr>
      <w:color w:val="FFFFFF"/>
    </w:rPr>
    <w:tblPr>
      <w:tblStyleRowBandSize w:val="1"/>
      <w:tblStyleColBandSize w:val="1"/>
    </w:tblPr>
    <w:tcPr>
      <w:shd w:val="clear" w:color="auto" w:fill="9BBB59"/>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sz="18" w:space="0"/>
          <w:insideH w:val="nil"/>
          <w:insideV w:val="nil"/>
        </w:tcBorders>
        <w:shd w:val="clear" w:color="auto" w:fill="76923C"/>
      </w:tcPr>
    </w:tblStylePr>
    <w:tblStylePr w:type="lastCol">
      <w:tblPr/>
      <w:tcPr>
        <w:tcBorders>
          <w:top w:val="nil"/>
          <w:left w:val="nil"/>
          <w:bottom w:val="single" w:color="FFFFFF" w:sz="18" w:space="0"/>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225">
    <w:name w:val="Dark List Accent 4"/>
    <w:basedOn w:val="12"/>
    <w:qFormat/>
    <w:uiPriority w:val="70"/>
    <w:rPr>
      <w:color w:val="FFFFFF"/>
    </w:rPr>
    <w:tblPr>
      <w:tblStyleRowBandSize w:val="1"/>
      <w:tblStyleColBandSize w:val="1"/>
    </w:tblPr>
    <w:tcPr>
      <w:shd w:val="clear" w:color="auto" w:fill="8064A2"/>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3F3151"/>
      </w:tcPr>
    </w:tblStylePr>
    <w:tblStylePr w:type="firstCol">
      <w:tblPr/>
      <w:tcPr>
        <w:tcBorders>
          <w:top w:val="nil"/>
          <w:left w:val="nil"/>
          <w:bottom w:val="nil"/>
          <w:right w:val="single" w:color="FFFFFF" w:sz="18" w:space="0"/>
          <w:insideH w:val="nil"/>
          <w:insideV w:val="nil"/>
        </w:tcBorders>
        <w:shd w:val="clear" w:color="auto" w:fill="5F497A"/>
      </w:tcPr>
    </w:tblStylePr>
    <w:tblStylePr w:type="lastCol">
      <w:tblPr/>
      <w:tcPr>
        <w:tcBorders>
          <w:top w:val="nil"/>
          <w:left w:val="nil"/>
          <w:bottom w:val="single" w:color="FFFFFF" w:sz="18" w:space="0"/>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226">
    <w:name w:val="Dark List Accent 5"/>
    <w:basedOn w:val="12"/>
    <w:qFormat/>
    <w:uiPriority w:val="70"/>
    <w:rPr>
      <w:color w:val="FFFFFF"/>
    </w:rPr>
    <w:tblPr>
      <w:tblStyleRowBandSize w:val="1"/>
      <w:tblStyleColBandSize w:val="1"/>
    </w:tblPr>
    <w:tcPr>
      <w:shd w:val="clear" w:color="auto" w:fill="4BACC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05867"/>
      </w:tcPr>
    </w:tblStylePr>
    <w:tblStylePr w:type="firstCol">
      <w:tblPr/>
      <w:tcPr>
        <w:tcBorders>
          <w:top w:val="nil"/>
          <w:left w:val="nil"/>
          <w:bottom w:val="nil"/>
          <w:right w:val="single" w:color="FFFFFF" w:sz="18" w:space="0"/>
          <w:insideH w:val="nil"/>
          <w:insideV w:val="nil"/>
        </w:tcBorders>
        <w:shd w:val="clear" w:color="auto" w:fill="31849B"/>
      </w:tcPr>
    </w:tblStylePr>
    <w:tblStylePr w:type="lastCol">
      <w:tblPr/>
      <w:tcPr>
        <w:tcBorders>
          <w:top w:val="nil"/>
          <w:left w:val="nil"/>
          <w:bottom w:val="single" w:color="FFFFFF" w:sz="18" w:space="0"/>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227">
    <w:name w:val="Dark List Accent 6"/>
    <w:basedOn w:val="12"/>
    <w:qFormat/>
    <w:uiPriority w:val="70"/>
    <w:rPr>
      <w:color w:val="FFFFFF"/>
    </w:rPr>
    <w:tblPr>
      <w:tblStyleRowBandSize w:val="1"/>
      <w:tblStyleColBandSize w:val="1"/>
    </w:tblPr>
    <w:tcPr>
      <w:shd w:val="clear" w:color="auto" w:fill="F7964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974706"/>
      </w:tcPr>
    </w:tblStylePr>
    <w:tblStylePr w:type="firstCol">
      <w:tblPr/>
      <w:tcPr>
        <w:tcBorders>
          <w:top w:val="nil"/>
          <w:left w:val="nil"/>
          <w:bottom w:val="nil"/>
          <w:right w:val="single" w:color="FFFFFF" w:sz="18" w:space="0"/>
          <w:insideH w:val="nil"/>
          <w:insideV w:val="nil"/>
        </w:tcBorders>
        <w:shd w:val="clear" w:color="auto" w:fill="E36C0A"/>
      </w:tcPr>
    </w:tblStylePr>
    <w:tblStylePr w:type="lastCol">
      <w:tblPr/>
      <w:tcPr>
        <w:tcBorders>
          <w:top w:val="nil"/>
          <w:left w:val="nil"/>
          <w:bottom w:val="single" w:color="FFFFFF" w:sz="18" w:space="0"/>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228">
    <w:name w:val="Colorful Shading"/>
    <w:basedOn w:val="12"/>
    <w:qFormat/>
    <w:uiPriority w:val="71"/>
    <w:rPr>
      <w:color w:val="000000"/>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000000"/>
      </w:tcPr>
    </w:tblStylePr>
    <w:tblStylePr w:type="firstCol">
      <w:rPr>
        <w:color w:val="FFFFFF"/>
      </w:rPr>
      <w:tblPr/>
      <w:tcPr>
        <w:tcBorders>
          <w:top w:val="nil"/>
          <w:left w:val="nil"/>
          <w:bottom w:val="nil"/>
          <w:right w:val="nil"/>
          <w:insideH w:val="single" w:sz="4" w:space="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229">
    <w:name w:val="Colorful Shading Accent 1"/>
    <w:basedOn w:val="12"/>
    <w:qFormat/>
    <w:uiPriority w:val="71"/>
    <w:rPr>
      <w:color w:val="000000"/>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C4C74"/>
      </w:tcPr>
    </w:tblStylePr>
    <w:tblStylePr w:type="firstCol">
      <w:rPr>
        <w:color w:val="FFFFFF"/>
      </w:rPr>
      <w:tblPr/>
      <w:tcPr>
        <w:tcBorders>
          <w:top w:val="nil"/>
          <w:left w:val="nil"/>
          <w:bottom w:val="nil"/>
          <w:right w:val="nil"/>
          <w:insideH w:val="single" w:sz="4" w:space="0"/>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0">
    <w:name w:val="Colorful Shading Accent 2"/>
    <w:basedOn w:val="12"/>
    <w:qFormat/>
    <w:uiPriority w:val="71"/>
    <w:rPr>
      <w:color w:val="000000"/>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772C2A"/>
      </w:tcPr>
    </w:tblStylePr>
    <w:tblStylePr w:type="firstCol">
      <w:rPr>
        <w:color w:val="FFFFFF"/>
      </w:rPr>
      <w:tblPr/>
      <w:tcPr>
        <w:tcBorders>
          <w:top w:val="nil"/>
          <w:left w:val="nil"/>
          <w:bottom w:val="nil"/>
          <w:right w:val="nil"/>
          <w:insideH w:val="single" w:sz="4" w:space="0"/>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231">
    <w:name w:val="Colorful Shading Accent 3"/>
    <w:basedOn w:val="12"/>
    <w:qFormat/>
    <w:uiPriority w:val="71"/>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single" w:color="8064A2"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5E7530"/>
      </w:tcPr>
    </w:tblStylePr>
    <w:tblStylePr w:type="firstCol">
      <w:rPr>
        <w:color w:val="FFFFFF"/>
      </w:rPr>
      <w:tblPr/>
      <w:tcPr>
        <w:tcBorders>
          <w:top w:val="nil"/>
          <w:left w:val="nil"/>
          <w:bottom w:val="nil"/>
          <w:right w:val="nil"/>
          <w:insideH w:val="single" w:sz="4" w:space="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232">
    <w:name w:val="Colorful Shading Accent 4"/>
    <w:basedOn w:val="12"/>
    <w:qFormat/>
    <w:uiPriority w:val="71"/>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single" w:color="9BBB59"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4C3B62"/>
      </w:tcPr>
    </w:tblStylePr>
    <w:tblStylePr w:type="firstCol">
      <w:rPr>
        <w:color w:val="FFFFFF"/>
      </w:rPr>
      <w:tblPr/>
      <w:tcPr>
        <w:tcBorders>
          <w:top w:val="nil"/>
          <w:left w:val="nil"/>
          <w:bottom w:val="nil"/>
          <w:right w:val="nil"/>
          <w:insideH w:val="single" w:sz="4" w:space="0"/>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233">
    <w:name w:val="Colorful Shading Accent 5"/>
    <w:basedOn w:val="12"/>
    <w:qFormat/>
    <w:uiPriority w:val="71"/>
    <w:rPr>
      <w:color w:val="000000"/>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single" w:color="F7964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76A7C"/>
      </w:tcPr>
    </w:tblStylePr>
    <w:tblStylePr w:type="firstCol">
      <w:rPr>
        <w:color w:val="FFFFFF"/>
      </w:rPr>
      <w:tblPr/>
      <w:tcPr>
        <w:tcBorders>
          <w:top w:val="nil"/>
          <w:left w:val="nil"/>
          <w:bottom w:val="nil"/>
          <w:right w:val="nil"/>
          <w:insideH w:val="single" w:sz="4" w:space="0"/>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234">
    <w:name w:val="Colorful Shading Accent 6"/>
    <w:basedOn w:val="12"/>
    <w:qFormat/>
    <w:uiPriority w:val="71"/>
    <w:rPr>
      <w:color w:val="000000"/>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single" w:color="4BACC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B65608"/>
      </w:tcPr>
    </w:tblStylePr>
    <w:tblStylePr w:type="firstCol">
      <w:rPr>
        <w:color w:val="FFFFFF"/>
      </w:rPr>
      <w:tblPr/>
      <w:tcPr>
        <w:tcBorders>
          <w:top w:val="nil"/>
          <w:left w:val="nil"/>
          <w:bottom w:val="nil"/>
          <w:right w:val="nil"/>
          <w:insideH w:val="single" w:sz="4" w:space="0"/>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235">
    <w:name w:val="Colorful List"/>
    <w:basedOn w:val="12"/>
    <w:qFormat/>
    <w:uiPriority w:val="72"/>
    <w:rPr>
      <w:color w:val="000000"/>
    </w:rPr>
    <w:tblPr>
      <w:tblStyleRowBandSize w:val="1"/>
      <w:tblStyleColBandSize w:val="1"/>
    </w:tblPr>
    <w:tcPr>
      <w:shd w:val="clear" w:color="auto" w:fill="E6E6E6"/>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236">
    <w:name w:val="Colorful List Accent 1"/>
    <w:basedOn w:val="12"/>
    <w:qFormat/>
    <w:uiPriority w:val="72"/>
    <w:rPr>
      <w:color w:val="000000"/>
    </w:rPr>
    <w:tblPr>
      <w:tblStyleRowBandSize w:val="1"/>
      <w:tblStyleColBandSize w:val="1"/>
    </w:tblPr>
    <w:tcPr>
      <w:shd w:val="clear" w:color="auto" w:fill="EDF2F8"/>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237">
    <w:name w:val="Colorful List Accent 2"/>
    <w:basedOn w:val="12"/>
    <w:qFormat/>
    <w:uiPriority w:val="72"/>
    <w:rPr>
      <w:color w:val="000000"/>
    </w:rPr>
    <w:tblPr>
      <w:tblStyleRowBandSize w:val="1"/>
      <w:tblStyleColBandSize w:val="1"/>
    </w:tblPr>
    <w:tcPr>
      <w:shd w:val="clear" w:color="auto" w:fill="F8EDED"/>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238">
    <w:name w:val="Colorful List Accent 3"/>
    <w:basedOn w:val="12"/>
    <w:qFormat/>
    <w:uiPriority w:val="72"/>
    <w:rPr>
      <w:color w:val="000000"/>
    </w:rPr>
    <w:tblPr>
      <w:tblStyleRowBandSize w:val="1"/>
      <w:tblStyleColBandSize w:val="1"/>
    </w:tblPr>
    <w:tcPr>
      <w:shd w:val="clear" w:color="auto" w:fill="F5F8EE"/>
    </w:tcPr>
    <w:tblStylePr w:type="firstRow">
      <w:rPr>
        <w:b/>
        <w:bCs/>
        <w:color w:val="FFFFFF"/>
      </w:rPr>
      <w:tblPr/>
      <w:tcPr>
        <w:tcBorders>
          <w:left w:val="single" w:color="FFFFFF" w:sz="12" w:space="0"/>
        </w:tcBorders>
        <w:shd w:val="clear" w:color="auto" w:fill="664E82"/>
      </w:tcPr>
    </w:tblStylePr>
    <w:tblStylePr w:type="lastRow">
      <w:rPr>
        <w:b/>
        <w:bCs/>
        <w:color w:val="664E82"/>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239">
    <w:name w:val="Colorful List Accent 4"/>
    <w:basedOn w:val="12"/>
    <w:qFormat/>
    <w:uiPriority w:val="72"/>
    <w:rPr>
      <w:color w:val="000000"/>
    </w:rPr>
    <w:tblPr>
      <w:tblStyleRowBandSize w:val="1"/>
      <w:tblStyleColBandSize w:val="1"/>
    </w:tblPr>
    <w:tcPr>
      <w:shd w:val="clear" w:color="auto" w:fill="F2EFF6"/>
    </w:tcPr>
    <w:tblStylePr w:type="firstRow">
      <w:rPr>
        <w:b/>
        <w:bCs/>
        <w:color w:val="FFFFFF"/>
      </w:rPr>
      <w:tblPr/>
      <w:tcPr>
        <w:tcBorders>
          <w:left w:val="single" w:color="FFFFFF" w:sz="12" w:space="0"/>
        </w:tcBorders>
        <w:shd w:val="clear" w:color="auto" w:fill="7E9C40"/>
      </w:tcPr>
    </w:tblStylePr>
    <w:tblStylePr w:type="lastRow">
      <w:rPr>
        <w:b/>
        <w:bCs/>
        <w:color w:val="7E9C40"/>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240">
    <w:name w:val="Colorful List Accent 5"/>
    <w:basedOn w:val="12"/>
    <w:qFormat/>
    <w:uiPriority w:val="72"/>
    <w:rPr>
      <w:color w:val="000000"/>
    </w:rPr>
    <w:tblPr>
      <w:tblStyleRowBandSize w:val="1"/>
      <w:tblStyleColBandSize w:val="1"/>
    </w:tblPr>
    <w:tcPr>
      <w:shd w:val="clear" w:color="auto" w:fill="EDF6F9"/>
    </w:tcPr>
    <w:tblStylePr w:type="firstRow">
      <w:rPr>
        <w:b/>
        <w:bCs/>
        <w:color w:val="FFFFFF"/>
      </w:rPr>
      <w:tblPr/>
      <w:tcPr>
        <w:tcBorders>
          <w:left w:val="single" w:color="FFFFFF" w:sz="12" w:space="0"/>
        </w:tcBorders>
        <w:shd w:val="clear" w:color="auto" w:fill="F2730A"/>
      </w:tcPr>
    </w:tblStylePr>
    <w:tblStylePr w:type="lastRow">
      <w:rPr>
        <w:b/>
        <w:bCs/>
        <w:color w:val="F2730A"/>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241">
    <w:name w:val="Colorful List Accent 6"/>
    <w:basedOn w:val="12"/>
    <w:qFormat/>
    <w:uiPriority w:val="72"/>
    <w:rPr>
      <w:color w:val="000000"/>
    </w:rPr>
    <w:tblPr>
      <w:tblStyleRowBandSize w:val="1"/>
      <w:tblStyleColBandSize w:val="1"/>
    </w:tblPr>
    <w:tcPr>
      <w:shd w:val="clear" w:color="auto" w:fill="FEF4EC"/>
    </w:tcPr>
    <w:tblStylePr w:type="firstRow">
      <w:rPr>
        <w:b/>
        <w:bCs/>
        <w:color w:val="FFFFFF"/>
      </w:rPr>
      <w:tblPr/>
      <w:tcPr>
        <w:tcBorders>
          <w:left w:val="single" w:color="FFFFFF" w:sz="12" w:space="0"/>
        </w:tcBorders>
        <w:shd w:val="clear" w:color="auto" w:fill="348DA5"/>
      </w:tcPr>
    </w:tblStylePr>
    <w:tblStylePr w:type="lastRow">
      <w:rPr>
        <w:b/>
        <w:bCs/>
        <w:color w:val="348DA5"/>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242">
    <w:name w:val="Colorful Grid"/>
    <w:basedOn w:val="12"/>
    <w:qFormat/>
    <w:uiPriority w:val="73"/>
    <w:rPr>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243">
    <w:name w:val="Colorful Grid Accent 1"/>
    <w:basedOn w:val="12"/>
    <w:qFormat/>
    <w:uiPriority w:val="73"/>
    <w:rPr>
      <w:color w:val="000000"/>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44">
    <w:name w:val="Colorful Grid Accent 2"/>
    <w:basedOn w:val="12"/>
    <w:qFormat/>
    <w:uiPriority w:val="73"/>
    <w:rPr>
      <w:color w:val="000000"/>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245">
    <w:name w:val="Colorful Grid Accent 3"/>
    <w:basedOn w:val="12"/>
    <w:qFormat/>
    <w:uiPriority w:val="73"/>
    <w:rPr>
      <w:color w:val="000000"/>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246">
    <w:name w:val="Colorful Grid Accent 4"/>
    <w:basedOn w:val="12"/>
    <w:qFormat/>
    <w:uiPriority w:val="73"/>
    <w:rPr>
      <w:color w:val="000000"/>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247">
    <w:name w:val="Colorful Grid Accent 5"/>
    <w:basedOn w:val="12"/>
    <w:qFormat/>
    <w:uiPriority w:val="73"/>
    <w:rPr>
      <w:color w:val="000000"/>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248">
    <w:name w:val="Colorful Grid Accent 6"/>
    <w:basedOn w:val="12"/>
    <w:qFormat/>
    <w:uiPriority w:val="73"/>
    <w:rPr>
      <w:color w:val="000000"/>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249">
    <w:name w:val="Heading 2 Char"/>
    <w:link w:val="3"/>
    <w:qFormat/>
    <w:uiPriority w:val="0"/>
    <w:rPr>
      <w:rFonts w:ascii="Carlito" w:hAnsi="Carlito" w:eastAsia="Open Sans" w:cs="Open Sans"/>
      <w:b/>
      <w:bCs/>
      <w:sz w:val="40"/>
      <w:szCs w:val="32"/>
      <w:u w:val="single"/>
      <w:lang w:val="en-US"/>
    </w:rPr>
  </w:style>
  <w:style w:type="character" w:customStyle="1" w:styleId="250">
    <w:name w:val="whitespace-nowrap"/>
    <w:basedOn w:val="11"/>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1364</Words>
  <Characters>7780</Characters>
  <Lines>64</Lines>
  <Paragraphs>18</Paragraphs>
  <TotalTime>0</TotalTime>
  <ScaleCrop>false</ScaleCrop>
  <LinksUpToDate>false</LinksUpToDate>
  <CharactersWithSpaces>9126</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2023-11-26T09:31:00Z</dcterms:created>
  <dc:creator>wps</dc:creator>
  <cp:lastModifiedBy>wps</cp:lastModifiedBy>
  <cp:lastPrinted>2025-05-29T23:36:00Z</cp:lastPrinted>
  <dcterms:modified xsi:type="dcterms:W3CDTF">2025-07-08T01:04:15Z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344B54E746484D129E6AC7FB25E119F8_13</vt:lpwstr>
  </property>
</Properties>
</file>